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华文仿宋" w:hAnsi="华文仿宋" w:eastAsia="华文仿宋"/>
          <w:b/>
          <w:sz w:val="44"/>
          <w:szCs w:val="44"/>
        </w:rPr>
      </w:pPr>
      <w:bookmarkStart w:id="0" w:name="_Hlk521269207"/>
      <w:bookmarkEnd w:id="0"/>
      <w:r>
        <w:rPr>
          <w:rFonts w:ascii="华文仿宋" w:hAnsi="华文仿宋" w:eastAsia="华文仿宋"/>
          <w:b/>
          <w:sz w:val="44"/>
          <w:szCs w:val="44"/>
        </w:rPr>
        <w:drawing>
          <wp:anchor distT="0" distB="0" distL="114300" distR="114300" simplePos="0" relativeHeight="251652096" behindDoc="0" locked="0" layoutInCell="1" allowOverlap="1">
            <wp:simplePos x="0" y="0"/>
            <wp:positionH relativeFrom="column">
              <wp:posOffset>1875790</wp:posOffset>
            </wp:positionH>
            <wp:positionV relativeFrom="paragraph">
              <wp:posOffset>323215</wp:posOffset>
            </wp:positionV>
            <wp:extent cx="1313180" cy="549275"/>
            <wp:effectExtent l="0" t="0" r="1270" b="3175"/>
            <wp:wrapSquare wrapText="bothSides"/>
            <wp:docPr id="38" name="图片 38" descr="C:\Users\Scarlett\AppData\Local\Temp\15298471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Scarlett\AppData\Local\Temp\1529847132(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13180" cy="549275"/>
                    </a:xfrm>
                    <a:prstGeom prst="rect">
                      <a:avLst/>
                    </a:prstGeom>
                    <a:noFill/>
                    <a:ln>
                      <a:noFill/>
                    </a:ln>
                  </pic:spPr>
                </pic:pic>
              </a:graphicData>
            </a:graphic>
          </wp:anchor>
        </w:drawing>
      </w:r>
    </w:p>
    <w:p>
      <w:pPr>
        <w:widowControl/>
        <w:jc w:val="left"/>
        <w:rPr>
          <w:rFonts w:ascii="华文仿宋" w:hAnsi="华文仿宋" w:eastAsia="华文仿宋"/>
          <w:b/>
          <w:sz w:val="44"/>
          <w:szCs w:val="44"/>
        </w:rPr>
      </w:pPr>
    </w:p>
    <w:p>
      <w:pPr>
        <w:widowControl/>
        <w:jc w:val="left"/>
        <w:rPr>
          <w:rFonts w:ascii="华文仿宋" w:hAnsi="华文仿宋" w:eastAsia="华文仿宋"/>
          <w:b/>
          <w:sz w:val="44"/>
          <w:szCs w:val="44"/>
        </w:rPr>
      </w:pPr>
    </w:p>
    <w:p>
      <w:pPr>
        <w:widowControl/>
        <w:jc w:val="left"/>
        <w:rPr>
          <w:rFonts w:ascii="华文仿宋" w:hAnsi="华文仿宋" w:eastAsia="华文仿宋"/>
          <w:b/>
          <w:sz w:val="44"/>
          <w:szCs w:val="44"/>
        </w:rPr>
      </w:pPr>
    </w:p>
    <w:p>
      <w:pPr>
        <w:widowControl/>
        <w:jc w:val="left"/>
        <w:rPr>
          <w:rFonts w:ascii="华文仿宋" w:hAnsi="华文仿宋" w:eastAsia="华文仿宋"/>
          <w:b/>
          <w:sz w:val="44"/>
          <w:szCs w:val="44"/>
        </w:rPr>
      </w:pPr>
      <w:r>
        <mc:AlternateContent>
          <mc:Choice Requires="wps">
            <w:drawing>
              <wp:anchor distT="45720" distB="45720" distL="114300" distR="114300" simplePos="0" relativeHeight="251654144" behindDoc="0" locked="0" layoutInCell="1" allowOverlap="1">
                <wp:simplePos x="0" y="0"/>
                <wp:positionH relativeFrom="margin">
                  <wp:posOffset>-15240</wp:posOffset>
                </wp:positionH>
                <wp:positionV relativeFrom="paragraph">
                  <wp:posOffset>1034415</wp:posOffset>
                </wp:positionV>
                <wp:extent cx="5211445" cy="1404620"/>
                <wp:effectExtent l="0" t="0" r="0" b="0"/>
                <wp:wrapSquare wrapText="bothSides"/>
                <wp:docPr id="4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11445" cy="1404620"/>
                        </a:xfrm>
                        <a:prstGeom prst="rect">
                          <a:avLst/>
                        </a:prstGeom>
                        <a:noFill/>
                        <a:ln w="9525">
                          <a:noFill/>
                          <a:miter lim="800000"/>
                        </a:ln>
                        <a:effectLst/>
                      </wps:spPr>
                      <wps:txbx>
                        <w:txbxContent>
                          <w:p>
                            <w:pPr>
                              <w:rPr>
                                <w:rFonts w:ascii="黑体" w:hAnsi="黑体" w:eastAsia="黑体"/>
                                <w:sz w:val="60"/>
                                <w:szCs w:val="60"/>
                              </w:rPr>
                            </w:pPr>
                            <w:r>
                              <w:rPr>
                                <w:rFonts w:hint="eastAsia" w:ascii="黑体" w:hAnsi="黑体" w:eastAsia="黑体"/>
                                <w:sz w:val="60"/>
                                <w:szCs w:val="60"/>
                              </w:rPr>
                              <w:t>若不全新架构金融科技，银行资管转型只是空谈</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2pt;margin-top:81.45pt;height:110.6pt;width:410.35pt;mso-position-horizontal-relative:margin;mso-wrap-distance-bottom:3.6pt;mso-wrap-distance-left:9pt;mso-wrap-distance-right:9pt;mso-wrap-distance-top:3.6pt;z-index:251654144;mso-width-relative:page;mso-height-relative:margin;mso-height-percent:200;" filled="f" stroked="f" coordsize="21600,21600" o:gfxdata="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jbY72QAAAAoBAAAPAAAAAAAA&#10;AAEAIAAAACIAAABkcnMvZG93bnJldi54bWxQSwECFAAUAAAACACHTuJAxu19QBECAADrAwAADgAA&#10;AAAAAAABACAAAAAoAQAAZHJzL2Uyb0RvYy54bWxQSwUGAAAAAAYABgBZAQAAqwUAAAAA&#10;">
                <v:fill on="f" focussize="0,0"/>
                <v:stroke on="f" miterlimit="8" joinstyle="miter"/>
                <v:imagedata o:title=""/>
                <o:lock v:ext="edit" aspectratio="f"/>
                <v:textbox style="mso-fit-shape-to-text:t;">
                  <w:txbxContent>
                    <w:p>
                      <w:pPr>
                        <w:rPr>
                          <w:rFonts w:ascii="黑体" w:hAnsi="黑体" w:eastAsia="黑体"/>
                          <w:sz w:val="60"/>
                          <w:szCs w:val="60"/>
                        </w:rPr>
                      </w:pPr>
                      <w:r>
                        <w:rPr>
                          <w:rFonts w:hint="eastAsia" w:ascii="黑体" w:hAnsi="黑体" w:eastAsia="黑体"/>
                          <w:sz w:val="60"/>
                          <w:szCs w:val="60"/>
                        </w:rPr>
                        <w:t>若不全新架构金融科技，银行资管转型只是空谈</w:t>
                      </w:r>
                    </w:p>
                  </w:txbxContent>
                </v:textbox>
                <w10:wrap type="square"/>
              </v:shape>
            </w:pict>
          </mc:Fallback>
        </mc:AlternateContent>
      </w:r>
    </w:p>
    <w:p>
      <w:pPr>
        <w:widowControl/>
        <w:jc w:val="left"/>
        <w:rPr>
          <w:rFonts w:ascii="华文仿宋" w:hAnsi="华文仿宋" w:eastAsia="华文仿宋"/>
          <w:b/>
          <w:sz w:val="44"/>
          <w:szCs w:val="44"/>
        </w:rPr>
      </w:pPr>
      <w:r>
        <mc:AlternateContent>
          <mc:Choice Requires="wps">
            <w:drawing>
              <wp:anchor distT="0" distB="0" distL="114300" distR="114300" simplePos="0" relativeHeight="251655168" behindDoc="0" locked="0" layoutInCell="1" allowOverlap="1">
                <wp:simplePos x="0" y="0"/>
                <wp:positionH relativeFrom="margin">
                  <wp:align>left</wp:align>
                </wp:positionH>
                <wp:positionV relativeFrom="paragraph">
                  <wp:posOffset>88900</wp:posOffset>
                </wp:positionV>
                <wp:extent cx="1430655" cy="0"/>
                <wp:effectExtent l="0" t="19050" r="17145" b="57150"/>
                <wp:wrapNone/>
                <wp:docPr id="3" name="直接连接符 47"/>
                <wp:cNvGraphicFramePr/>
                <a:graphic xmlns:a="http://schemas.openxmlformats.org/drawingml/2006/main">
                  <a:graphicData uri="http://schemas.microsoft.com/office/word/2010/wordprocessingShape">
                    <wps:wsp>
                      <wps:cNvCnPr/>
                      <wps:spPr>
                        <a:xfrm>
                          <a:off x="0" y="0"/>
                          <a:ext cx="1430655" cy="0"/>
                        </a:xfrm>
                        <a:prstGeom prst="line">
                          <a:avLst/>
                        </a:prstGeom>
                        <a:ln w="38100" cap="flat" cmpd="sng">
                          <a:solidFill>
                            <a:schemeClr val="accent6">
                              <a:lumMod val="60000"/>
                              <a:lumOff val="40000"/>
                            </a:schemeClr>
                          </a:solidFill>
                          <a:prstDash val="solid"/>
                          <a:headEnd type="none" w="med" len="med"/>
                          <a:tailEnd type="none" w="med" len="med"/>
                        </a:ln>
                        <a:effectLst>
                          <a:outerShdw dist="23000" dir="5400000" rotWithShape="0">
                            <a:srgbClr val="000000">
                              <a:alpha val="34999"/>
                            </a:srgbClr>
                          </a:outerShdw>
                        </a:effectLst>
                      </wps:spPr>
                      <wps:bodyPr/>
                    </wps:wsp>
                  </a:graphicData>
                </a:graphic>
              </wp:anchor>
            </w:drawing>
          </mc:Choice>
          <mc:Fallback>
            <w:pict>
              <v:line id="直接连接符 47" o:spid="_x0000_s1026" o:spt="20" style="position:absolute;left:0pt;margin-top:7pt;height:0pt;width:112.65pt;mso-position-horizontal:left;mso-position-horizontal-relative:margin;z-index:251655168;mso-width-relative:page;mso-height-relative:page;" filled="f" stroked="t" coordsize="21600,21600" o:gfxdata="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te0hc1gAAAAYBAAAPAAAAAAAAAAEAIAAAACIAAABkcnMvZG93bnJldi54bWxQSwEC&#10;FAAUAAAACACHTuJAuUzX/y8CAABhBAAADgAAAAAAAAABACAAAAAlAQAAZHJzL2Uyb0RvYy54bWxQ&#10;SwUGAAAAAAYABgBZAQAAxgUAAAAA&#10;">
                <v:fill on="f" focussize="0,0"/>
                <v:stroke weight="3pt" color="#FAC090 [1945]" joinstyle="round"/>
                <v:imagedata o:title=""/>
                <o:lock v:ext="edit" aspectratio="f"/>
                <v:shadow on="t" color="#000000" opacity="22936f" offset="0pt,1.81102362204724pt" origin="0f,32768f" matrix="65536f,0f,0f,65536f"/>
              </v:line>
            </w:pict>
          </mc:Fallback>
        </mc:AlternateContent>
      </w:r>
      <w:r>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354330</wp:posOffset>
                </wp:positionV>
                <wp:extent cx="2978785" cy="0"/>
                <wp:effectExtent l="0" t="19050" r="12065" b="57150"/>
                <wp:wrapSquare wrapText="bothSides"/>
                <wp:docPr id="4" name="直接连接符 48"/>
                <wp:cNvGraphicFramePr/>
                <a:graphic xmlns:a="http://schemas.openxmlformats.org/drawingml/2006/main">
                  <a:graphicData uri="http://schemas.microsoft.com/office/word/2010/wordprocessingShape">
                    <wps:wsp>
                      <wps:cNvCnPr/>
                      <wps:spPr>
                        <a:xfrm>
                          <a:off x="0" y="0"/>
                          <a:ext cx="2978785" cy="0"/>
                        </a:xfrm>
                        <a:prstGeom prst="line">
                          <a:avLst/>
                        </a:prstGeom>
                        <a:ln w="38100" cap="flat" cmpd="sng">
                          <a:solidFill>
                            <a:schemeClr val="accent1"/>
                          </a:solidFill>
                          <a:prstDash val="solid"/>
                          <a:headEnd type="none" w="med" len="med"/>
                          <a:tailEnd type="none" w="med" len="med"/>
                        </a:ln>
                        <a:effectLst>
                          <a:outerShdw dist="23000" dir="5400000" rotWithShape="0">
                            <a:srgbClr val="000000">
                              <a:alpha val="34999"/>
                            </a:srgbClr>
                          </a:outerShdw>
                        </a:effectLst>
                      </wps:spPr>
                      <wps:bodyPr/>
                    </wps:wsp>
                  </a:graphicData>
                </a:graphic>
              </wp:anchor>
            </w:drawing>
          </mc:Choice>
          <mc:Fallback>
            <w:pict>
              <v:line id="直接连接符 48" o:spid="_x0000_s1026" o:spt="20" style="position:absolute;left:0pt;margin-top:27.9pt;height:0pt;width:234.55pt;mso-position-horizontal:left;mso-position-horizontal-relative:margin;mso-wrap-distance-bottom:0pt;mso-wrap-distance-left:9pt;mso-wrap-distance-right:9pt;mso-wrap-distance-top:0pt;z-index:251656192;mso-width-relative:page;mso-height-relative:page;" filled="f" stroked="t" coordsize="21600,21600" o:gfxdata="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WyC0bSAAAABgEAAA8AAAAA&#10;AAAAAQAgAAAAIgAAAGRycy9kb3ducmV2LnhtbFBLAQIUABQAAAAIAIdO4kBJFXn5GgIAACgEAAAO&#10;AAAAAAAAAAEAIAAAACEBAABkcnMvZTJvRG9jLnhtbFBLBQYAAAAABgAGAFkBAACtBQAAAAA=&#10;">
                <v:fill on="f" focussize="0,0"/>
                <v:stroke weight="3pt" color="#4F81BD [3204]" joinstyle="round"/>
                <v:imagedata o:title=""/>
                <o:lock v:ext="edit" aspectratio="f"/>
                <v:shadow on="t" color="#000000" opacity="22936f" offset="0pt,1.81102362204724pt" origin="0f,32768f" matrix="65536f,0f,0f,65536f"/>
                <w10:wrap type="square"/>
              </v:line>
            </w:pict>
          </mc:Fallback>
        </mc:AlternateContent>
      </w:r>
    </w:p>
    <w:p>
      <w:pPr>
        <w:widowControl/>
        <w:jc w:val="left"/>
        <w:rPr>
          <w:rFonts w:ascii="华文仿宋" w:hAnsi="华文仿宋" w:eastAsia="华文仿宋"/>
          <w:b/>
          <w:sz w:val="44"/>
          <w:szCs w:val="44"/>
        </w:rPr>
      </w:pPr>
    </w:p>
    <w:p>
      <w:pPr>
        <w:widowControl/>
        <w:jc w:val="left"/>
        <w:rPr>
          <w:rFonts w:ascii="华文仿宋" w:hAnsi="华文仿宋" w:eastAsia="华文仿宋"/>
          <w:b/>
          <w:sz w:val="44"/>
          <w:szCs w:val="44"/>
        </w:rPr>
      </w:pPr>
    </w:p>
    <w:p>
      <w:pPr>
        <w:widowControl/>
        <w:jc w:val="left"/>
        <w:rPr>
          <w:rFonts w:ascii="仿宋" w:hAnsi="仿宋" w:eastAsia="仿宋"/>
          <w:sz w:val="44"/>
          <w:szCs w:val="44"/>
        </w:rPr>
      </w:pPr>
    </w:p>
    <w:p>
      <w:pPr>
        <w:widowControl/>
        <w:spacing w:line="480" w:lineRule="auto"/>
        <w:jc w:val="left"/>
        <w:rPr>
          <w:rFonts w:ascii="仿宋" w:hAnsi="仿宋" w:eastAsia="仿宋"/>
          <w:b/>
          <w:sz w:val="28"/>
          <w:szCs w:val="28"/>
        </w:rPr>
      </w:pPr>
    </w:p>
    <w:p>
      <w:pPr>
        <w:widowControl/>
        <w:spacing w:line="480" w:lineRule="auto"/>
        <w:jc w:val="left"/>
        <w:rPr>
          <w:rFonts w:ascii="仿宋" w:hAnsi="仿宋" w:eastAsia="仿宋"/>
          <w:b/>
          <w:sz w:val="28"/>
          <w:szCs w:val="28"/>
        </w:rPr>
      </w:pPr>
    </w:p>
    <w:p>
      <w:pPr>
        <w:widowControl/>
        <w:spacing w:line="480" w:lineRule="auto"/>
        <w:jc w:val="left"/>
        <w:rPr>
          <w:rFonts w:ascii="仿宋" w:hAnsi="仿宋" w:eastAsia="仿宋"/>
          <w:b/>
          <w:sz w:val="28"/>
          <w:szCs w:val="28"/>
        </w:rPr>
      </w:pPr>
      <w:r>
        <w:rPr>
          <w:sz w:val="28"/>
          <w:szCs w:val="28"/>
        </w:rPr>
        <mc:AlternateContent>
          <mc:Choice Requires="wps">
            <w:drawing>
              <wp:anchor distT="0" distB="0" distL="114300" distR="114300" simplePos="0" relativeHeight="251653120" behindDoc="0" locked="0" layoutInCell="1" allowOverlap="1">
                <wp:simplePos x="0" y="0"/>
                <wp:positionH relativeFrom="column">
                  <wp:posOffset>-36830</wp:posOffset>
                </wp:positionH>
                <wp:positionV relativeFrom="paragraph">
                  <wp:posOffset>415925</wp:posOffset>
                </wp:positionV>
                <wp:extent cx="5280025" cy="0"/>
                <wp:effectExtent l="0" t="0" r="0" b="0"/>
                <wp:wrapNone/>
                <wp:docPr id="2" name="直接连接符 42"/>
                <wp:cNvGraphicFramePr/>
                <a:graphic xmlns:a="http://schemas.openxmlformats.org/drawingml/2006/main">
                  <a:graphicData uri="http://schemas.microsoft.com/office/word/2010/wordprocessingShape">
                    <wps:wsp>
                      <wps:cNvCnPr/>
                      <wps:spPr>
                        <a:xfrm>
                          <a:off x="0" y="0"/>
                          <a:ext cx="5280025" cy="0"/>
                        </a:xfrm>
                        <a:prstGeom prst="line">
                          <a:avLst/>
                        </a:prstGeom>
                        <a:ln w="9525" cap="flat" cmpd="sng">
                          <a:solidFill>
                            <a:schemeClr val="dk1">
                              <a:lumMod val="95000"/>
                            </a:schemeClr>
                          </a:solidFill>
                          <a:prstDash val="solid"/>
                          <a:headEnd type="none" w="med" len="med"/>
                          <a:tailEnd type="none" w="med" len="med"/>
                        </a:ln>
                      </wps:spPr>
                      <wps:bodyPr/>
                    </wps:wsp>
                  </a:graphicData>
                </a:graphic>
              </wp:anchor>
            </w:drawing>
          </mc:Choice>
          <mc:Fallback>
            <w:pict>
              <v:line id="直接连接符 42" o:spid="_x0000_s1026" o:spt="20" style="position:absolute;left:0pt;margin-left:-2.9pt;margin-top:32.75pt;height:0pt;width:415.75pt;z-index:251653120;mso-width-relative:page;mso-height-relative:page;" filled="f" stroked="t" coordsize="21600,21600" o:gfxdata="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3LaFNcAAAAIAQAA&#10;DwAAAAAAAAABACAAAAAiAAAAZHJzL2Rvd25yZXYueG1sUEsBAhQAFAAAAAgAh07iQMAaO5jhAQAA&#10;rQMAAA4AAAAAAAAAAQAgAAAAJgEAAGRycy9lMm9Eb2MueG1sUEsFBgAAAAAGAAYAWQEAAHkFAAAA&#10;AA==&#10;">
                <v:fill on="f" focussize="0,0"/>
                <v:stroke color="#000000 [3040]" joinstyle="round"/>
                <v:imagedata o:title=""/>
                <o:lock v:ext="edit" aspectratio="f"/>
              </v:line>
            </w:pict>
          </mc:Fallback>
        </mc:AlternateContent>
      </w:r>
      <w:r>
        <w:rPr>
          <w:rFonts w:hint="eastAsia" w:ascii="仿宋" w:hAnsi="仿宋" w:eastAsia="仿宋"/>
          <w:b/>
          <w:sz w:val="28"/>
          <w:szCs w:val="28"/>
        </w:rPr>
        <w:t>普益标准银行资管专题研究</w:t>
      </w:r>
    </w:p>
    <w:p>
      <w:pPr>
        <w:widowControl/>
        <w:spacing w:line="480" w:lineRule="auto"/>
        <w:jc w:val="left"/>
        <w:rPr>
          <w:rFonts w:ascii="仿宋" w:hAnsi="仿宋" w:eastAsia="仿宋"/>
          <w:b/>
          <w:sz w:val="28"/>
          <w:szCs w:val="28"/>
        </w:rPr>
      </w:pPr>
      <w:r>
        <w:rPr>
          <w:rFonts w:hint="eastAsia" w:ascii="仿宋" w:hAnsi="仿宋" w:eastAsia="仿宋"/>
          <w:b/>
          <w:sz w:val="28"/>
          <w:szCs w:val="28"/>
        </w:rPr>
        <w:t>第</w:t>
      </w:r>
      <w:r>
        <w:rPr>
          <w:rFonts w:ascii="仿宋" w:hAnsi="仿宋" w:eastAsia="仿宋"/>
          <w:b/>
          <w:sz w:val="28"/>
          <w:szCs w:val="28"/>
        </w:rPr>
        <w:t>3</w:t>
      </w:r>
      <w:r>
        <w:rPr>
          <w:rFonts w:hint="eastAsia" w:ascii="仿宋" w:hAnsi="仿宋" w:eastAsia="仿宋"/>
          <w:b/>
          <w:sz w:val="28"/>
          <w:szCs w:val="28"/>
        </w:rPr>
        <w:t>期</w:t>
      </w:r>
    </w:p>
    <w:p>
      <w:pPr>
        <w:spacing w:line="360" w:lineRule="auto"/>
        <w:rPr>
          <w:rFonts w:ascii="仿宋" w:hAnsi="仿宋" w:eastAsia="仿宋"/>
          <w:b/>
          <w:sz w:val="28"/>
          <w:szCs w:val="28"/>
        </w:rPr>
      </w:pPr>
      <w:r>
        <w:rPr>
          <w:rFonts w:hint="eastAsia" w:ascii="华文仿宋" w:hAnsi="华文仿宋" w:eastAsia="华文仿宋"/>
          <w:b/>
          <w:sz w:val="28"/>
          <w:szCs w:val="28"/>
        </w:rPr>
        <w:t>研究员：付巍伟 陈新春 涂敏</w:t>
      </w:r>
    </w:p>
    <w:p>
      <w:pPr>
        <w:rPr>
          <w:rFonts w:ascii="仿宋" w:hAnsi="仿宋" w:eastAsia="仿宋"/>
          <w:b/>
          <w:sz w:val="28"/>
          <w:szCs w:val="28"/>
        </w:rPr>
        <w:sectPr>
          <w:footerReference r:id="rId4" w:type="default"/>
          <w:pgSz w:w="11906" w:h="16838"/>
          <w:pgMar w:top="1440" w:right="1800" w:bottom="1440" w:left="1800" w:header="851" w:footer="992" w:gutter="0"/>
          <w:cols w:space="425" w:num="1"/>
          <w:docGrid w:type="lines" w:linePitch="312" w:charSpace="0"/>
        </w:sectPr>
      </w:pPr>
    </w:p>
    <w:p>
      <w:pPr>
        <w:jc w:val="center"/>
        <w:rPr>
          <w:rFonts w:ascii="仿宋" w:hAnsi="仿宋" w:eastAsia="仿宋"/>
          <w:b/>
          <w:sz w:val="28"/>
          <w:szCs w:val="28"/>
        </w:rPr>
      </w:pPr>
      <w:r>
        <w:rPr>
          <w:rFonts w:hint="eastAsia" w:ascii="仿宋" w:hAnsi="仿宋" w:eastAsia="仿宋"/>
          <w:b/>
          <w:sz w:val="28"/>
          <w:szCs w:val="28"/>
        </w:rPr>
        <w:t>引子</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2018年，招商银行、中国银行等多家银行巨头宣布将投入不低于上一年度营业收入的1%用于金融科技研发。</w:t>
      </w:r>
      <w:r>
        <w:rPr>
          <w:rFonts w:hint="eastAsia" w:ascii="华文仿宋" w:hAnsi="华文仿宋" w:eastAsia="华文仿宋"/>
          <w:sz w:val="24"/>
          <w:szCs w:val="24"/>
        </w:rPr>
        <w:t>过去十几年里，银行资管依托传统渠道优势和资金池运作模式实现迅速扩张，也被人们喻为“躺着赚钱”。金融严监管给中国资管行业带来前所未有的挑战与转型压力，而金融科技必将成为这场“转型之战”中襄助银行资管占领高地的“尖兵利刃”。</w:t>
      </w:r>
    </w:p>
    <w:p>
      <w:pPr>
        <w:jc w:val="center"/>
        <w:rPr>
          <w:rFonts w:ascii="仿宋" w:hAnsi="仿宋" w:eastAsia="仿宋"/>
          <w:b/>
          <w:sz w:val="28"/>
          <w:szCs w:val="28"/>
        </w:rPr>
      </w:pPr>
    </w:p>
    <w:p>
      <w:pPr>
        <w:jc w:val="center"/>
        <w:rPr>
          <w:rFonts w:ascii="仿宋" w:hAnsi="仿宋" w:eastAsia="仿宋"/>
          <w:b/>
          <w:sz w:val="28"/>
          <w:szCs w:val="28"/>
        </w:rPr>
        <w:sectPr>
          <w:pgSz w:w="11906" w:h="16838"/>
          <w:pgMar w:top="1440" w:right="1800" w:bottom="1440" w:left="1800" w:header="851" w:footer="992" w:gutter="0"/>
          <w:cols w:space="425" w:num="1"/>
          <w:docGrid w:type="lines" w:linePitch="312" w:charSpace="0"/>
        </w:sectPr>
      </w:pPr>
    </w:p>
    <w:p>
      <w:pPr>
        <w:jc w:val="center"/>
        <w:rPr>
          <w:rFonts w:ascii="仿宋" w:hAnsi="仿宋" w:eastAsia="仿宋"/>
          <w:b/>
          <w:sz w:val="28"/>
          <w:szCs w:val="28"/>
        </w:rPr>
      </w:pPr>
      <w:r>
        <w:rPr>
          <w:rFonts w:hint="eastAsia" w:ascii="仿宋" w:hAnsi="仿宋" w:eastAsia="仿宋"/>
          <w:b/>
          <w:sz w:val="28"/>
          <w:szCs w:val="28"/>
        </w:rPr>
        <w:t>摘 要</w:t>
      </w:r>
    </w:p>
    <w:p>
      <w:pPr>
        <w:spacing w:line="360" w:lineRule="auto"/>
        <w:ind w:firstLine="480" w:firstLineChars="200"/>
        <w:rPr>
          <w:rFonts w:ascii="华文仿宋" w:hAnsi="华文仿宋" w:eastAsia="华文仿宋"/>
          <w:sz w:val="24"/>
          <w:szCs w:val="24"/>
        </w:rPr>
      </w:pPr>
      <w:bookmarkStart w:id="1" w:name="_Hlk522623009"/>
      <w:r>
        <w:rPr>
          <w:rFonts w:hint="eastAsia" w:ascii="华文仿宋" w:hAnsi="华文仿宋" w:eastAsia="华文仿宋"/>
          <w:sz w:val="24"/>
          <w:szCs w:val="24"/>
        </w:rPr>
        <w:t>伴随着资管新规与理财新规的相继落地，商业银行资管业务亦迎来全方位挑战，涉及到销售端、投资端、运营管理等诸多方面。无论是资管新规还是理财新规，都要求银行资管告别过去的粗放经营模式，向“真资管”和“以投资者为中心”转型。</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销售端来看，客户群体的扩大与服务方式的转变将颠覆银行财富管理端业务模式。面对理财新规关于面签、双录、产品宣传、服务、信息披露等要求，仅通过传统的理财经理线下业务模式使得银行面对广阔的长尾客户市场无能为力。充分挖掘客户信息、高效的客户分析与响应、精准的客户服务是未来银行财富管理业务的致胜之道。</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投资端来看，对内，银行自主投研能力不足；对外，银行对委外合作机构的管理亦粗糙。过高的人均管理规模透露出银行资管人才配备不足的现实。在不具备配套的薪酬体系和激励制度时，投研能力短期内将无法通过人才队伍的扩充而迅速提升。另外，理财新规关于银行合作机构的资质要求以及管理要求，使得银行必须实现对于合作机构的精细化管理，即实现从投前、投中到投后的全流程评价和监控。</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运营管理来看，理财产品形式改变后，随之而来的将是运营模式的转变。产品净值化转型对产品的交易、估值、结算、信息披露等提出了更高更严要求，资管新规、理财新规亦考验银行理财风险管理的深度与广度，而资管子公司的逐步落地，更将直接考验银行的运营管理能力。</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上述转型痛点制约了银行资管的有效转型，可以认为，若不能全新架构金融科技，银行资管转型只能是空谈。拥抱科技，对内提升效率与能力边界、对外提升客户使用体验与服务产能是理财新规下商业银行理财业务快速转型的核心驱动力。</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销售端，开发智能财富管理系统。通过大数据，洞察客户需求；通过策略模型，快速响应需求；通过场景架设，直击需求痛点；通过智能平台，实现全天候服务。</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投资端，开发资产配置系统。自主投资以投研系统为核心，以庞大的金融数据库、丰富的资产配置策略与模式为底层基础，提供充分的投研支持；委外投资以MOM管理系统为核心，在标准化的评价流程下，通过内外部数据库的联动，对管理人实现投资全流程的评价，提升银行对委外业务的主动管理能力。</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运营管理端，开发运营管理系统。以运营数据为内核，打通全业务链条，通过信息化建设，实现风险穿透；通过对交易、估值、结算等系统的架设，完善净值型产品的运营。未来，在资管业务剥离、理财产品托管的要求下，运营管理系统将是银行大力发展托管业务，架构托管系统的基础。</w:t>
      </w:r>
    </w:p>
    <w:p>
      <w:pPr>
        <w:spacing w:line="360" w:lineRule="auto"/>
        <w:ind w:firstLine="480" w:firstLineChars="200"/>
        <w:rPr>
          <w:rFonts w:ascii="华文仿宋" w:hAnsi="华文仿宋" w:eastAsia="华文仿宋"/>
          <w:sz w:val="24"/>
          <w:szCs w:val="24"/>
        </w:rPr>
        <w:sectPr>
          <w:pgSz w:w="11906" w:h="16838"/>
          <w:pgMar w:top="1440" w:right="1800" w:bottom="1440" w:left="1800" w:header="851" w:footer="992" w:gutter="0"/>
          <w:cols w:space="425" w:num="1"/>
          <w:docGrid w:type="lines" w:linePitch="312" w:charSpace="0"/>
        </w:sectPr>
      </w:pPr>
      <w:r>
        <w:rPr>
          <w:rFonts w:hint="eastAsia" w:ascii="华文仿宋" w:hAnsi="华文仿宋" w:eastAsia="华文仿宋"/>
          <w:sz w:val="24"/>
          <w:szCs w:val="24"/>
        </w:rPr>
        <w:t>我们认为，系统开发的核心理念是整体规划、分步实施、快速迭代、系统整合。理财新规下，对系统建设的整体规划是建立以智能财富管理系统、资产配置系统、运营管理系统等三大系统为支撑的智能资管系统。系统的建设必须建立在金融逻辑与业务逻辑之上，根据系统的重要性、紧迫性、所需资源的多寡、开发的难易进行不同的时间规划与功能规划，在标准版的基础上，根据银行个性化需求逐步迭代升级，嫁接到本行已有的系统模块，最终形成资管系统的全面整合。</w:t>
      </w:r>
    </w:p>
    <w:bookmarkEnd w:id="1"/>
    <w:sdt>
      <w:sdtPr>
        <w:rPr>
          <w:lang w:val="zh-CN"/>
        </w:rPr>
        <w:id w:val="-990250334"/>
        <w:docPartObj>
          <w:docPartGallery w:val="Table of Contents"/>
          <w:docPartUnique/>
        </w:docPartObj>
      </w:sdtPr>
      <w:sdtEndPr>
        <w:rPr>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0"/>
            <w:tabs>
              <w:tab w:val="right" w:leader="dot" w:pos="8306"/>
            </w:tabs>
          </w:pPr>
          <w:r>
            <w:rPr>
              <w:rFonts w:hint="eastAsia" w:hAnsi="仿宋" w:eastAsia="仿宋" w:cs="仿宋"/>
              <w:b/>
              <w:bCs/>
              <w:sz w:val="24"/>
              <w:szCs w:val="24"/>
              <w:lang w:val="zh-CN"/>
            </w:rPr>
            <w:fldChar w:fldCharType="begin"/>
          </w:r>
          <w:r>
            <w:rPr>
              <w:rFonts w:hint="eastAsia" w:hAnsi="仿宋" w:eastAsia="仿宋" w:cs="仿宋"/>
              <w:b/>
              <w:bCs/>
              <w:sz w:val="24"/>
              <w:szCs w:val="24"/>
              <w:lang w:val="zh-CN"/>
            </w:rPr>
            <w:instrText xml:space="preserve"> TOC \o "1-3" \h \z \u </w:instrText>
          </w:r>
          <w:r>
            <w:rPr>
              <w:rFonts w:hint="eastAsia" w:hAnsi="仿宋" w:eastAsia="仿宋" w:cs="仿宋"/>
              <w:b/>
              <w:bCs/>
              <w:sz w:val="24"/>
              <w:szCs w:val="24"/>
              <w:lang w:val="zh-CN"/>
            </w:rPr>
            <w:fldChar w:fldCharType="separate"/>
          </w: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_Toc11421 </w:instrText>
          </w:r>
          <w:r>
            <w:rPr>
              <w:rFonts w:hint="eastAsia" w:hAnsi="仿宋" w:eastAsia="仿宋" w:cs="仿宋"/>
              <w:bCs/>
              <w:szCs w:val="24"/>
              <w:lang w:val="zh-CN"/>
            </w:rPr>
            <w:fldChar w:fldCharType="separate"/>
          </w:r>
          <w:r>
            <w:rPr>
              <w:rFonts w:hint="eastAsia" w:ascii="华文仿宋" w:hAnsi="华文仿宋" w:eastAsia="华文仿宋"/>
            </w:rPr>
            <w:t>一、理财新规下商业银行资管业务转型痛点</w:t>
          </w:r>
          <w:r>
            <w:tab/>
          </w:r>
          <w:r>
            <w:fldChar w:fldCharType="begin"/>
          </w:r>
          <w:r>
            <w:instrText xml:space="preserve"> PAGEREF _Toc11421 </w:instrText>
          </w:r>
          <w:r>
            <w:fldChar w:fldCharType="separate"/>
          </w:r>
          <w:r>
            <w:t>1</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_Toc7569 </w:instrText>
          </w:r>
          <w:r>
            <w:rPr>
              <w:rFonts w:hint="eastAsia" w:hAnsi="仿宋" w:eastAsia="仿宋" w:cs="仿宋"/>
              <w:bCs/>
              <w:szCs w:val="24"/>
              <w:lang w:val="zh-CN"/>
            </w:rPr>
            <w:fldChar w:fldCharType="separate"/>
          </w:r>
          <w:r>
            <w:rPr>
              <w:rFonts w:hint="eastAsia" w:ascii="华文仿宋" w:hAnsi="华文仿宋" w:eastAsia="华文仿宋"/>
            </w:rPr>
            <w:t>1</w:t>
          </w:r>
          <w:r>
            <w:rPr>
              <w:rFonts w:ascii="华文仿宋" w:hAnsi="华文仿宋" w:eastAsia="华文仿宋"/>
            </w:rPr>
            <w:t>.1</w:t>
          </w:r>
          <w:r>
            <w:rPr>
              <w:rFonts w:hint="eastAsia" w:ascii="华文仿宋" w:hAnsi="华文仿宋" w:eastAsia="华文仿宋"/>
            </w:rPr>
            <w:t>营销管理——传统管理方式将无法挖掘巨大的长尾客户市场</w:t>
          </w:r>
          <w:r>
            <w:tab/>
          </w:r>
          <w:r>
            <w:fldChar w:fldCharType="begin"/>
          </w:r>
          <w:r>
            <w:instrText xml:space="preserve"> PAGEREF _Toc7569 </w:instrText>
          </w:r>
          <w:r>
            <w:fldChar w:fldCharType="separate"/>
          </w:r>
          <w:r>
            <w:t>1</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_Toc4266 </w:instrText>
          </w:r>
          <w:r>
            <w:rPr>
              <w:rFonts w:hint="eastAsia" w:hAnsi="仿宋" w:eastAsia="仿宋" w:cs="仿宋"/>
              <w:bCs/>
              <w:szCs w:val="24"/>
              <w:lang w:val="zh-CN"/>
            </w:rPr>
            <w:fldChar w:fldCharType="separate"/>
          </w:r>
          <w:r>
            <w:rPr>
              <w:rFonts w:hint="eastAsia" w:ascii="华文仿宋" w:hAnsi="华文仿宋" w:eastAsia="华文仿宋"/>
            </w:rPr>
            <w:t>1</w:t>
          </w:r>
          <w:r>
            <w:rPr>
              <w:rFonts w:ascii="华文仿宋" w:hAnsi="华文仿宋" w:eastAsia="华文仿宋"/>
            </w:rPr>
            <w:t>.2</w:t>
          </w:r>
          <w:r>
            <w:rPr>
              <w:rFonts w:hint="eastAsia" w:ascii="华文仿宋" w:hAnsi="华文仿宋" w:eastAsia="华文仿宋"/>
            </w:rPr>
            <w:t>投资配置——自主投研能力欠缺、委外合作机构管理不足</w:t>
          </w:r>
          <w:r>
            <w:tab/>
          </w:r>
          <w:r>
            <w:fldChar w:fldCharType="begin"/>
          </w:r>
          <w:r>
            <w:instrText xml:space="preserve"> PAGEREF _Toc4266 </w:instrText>
          </w:r>
          <w:r>
            <w:fldChar w:fldCharType="separate"/>
          </w:r>
          <w:r>
            <w:t>2</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_Toc15728 </w:instrText>
          </w:r>
          <w:r>
            <w:rPr>
              <w:rFonts w:hint="eastAsia" w:hAnsi="仿宋" w:eastAsia="仿宋" w:cs="仿宋"/>
              <w:bCs/>
              <w:szCs w:val="24"/>
              <w:lang w:val="zh-CN"/>
            </w:rPr>
            <w:fldChar w:fldCharType="separate"/>
          </w:r>
          <w:r>
            <w:rPr>
              <w:rFonts w:hint="eastAsia" w:ascii="华文仿宋" w:hAnsi="华文仿宋" w:eastAsia="华文仿宋"/>
            </w:rPr>
            <w:t>1</w:t>
          </w:r>
          <w:r>
            <w:rPr>
              <w:rFonts w:ascii="华文仿宋" w:hAnsi="华文仿宋" w:eastAsia="华文仿宋"/>
            </w:rPr>
            <w:t>.3</w:t>
          </w:r>
          <w:r>
            <w:rPr>
              <w:rFonts w:hint="eastAsia" w:ascii="华文仿宋" w:hAnsi="华文仿宋" w:eastAsia="华文仿宋"/>
            </w:rPr>
            <w:t>运营管理——运营模式颠覆、风险管理要求提升</w:t>
          </w:r>
          <w:r>
            <w:tab/>
          </w:r>
          <w:r>
            <w:fldChar w:fldCharType="begin"/>
          </w:r>
          <w:r>
            <w:instrText xml:space="preserve"> PAGEREF _Toc15728 </w:instrText>
          </w:r>
          <w:r>
            <w:fldChar w:fldCharType="separate"/>
          </w:r>
          <w:r>
            <w:t>3</w:t>
          </w:r>
          <w:r>
            <w:fldChar w:fldCharType="end"/>
          </w:r>
          <w:r>
            <w:rPr>
              <w:rFonts w:hint="eastAsia" w:hAnsi="仿宋" w:eastAsia="仿宋" w:cs="仿宋"/>
              <w:bCs/>
              <w:szCs w:val="24"/>
              <w:lang w:val="zh-CN"/>
            </w:rPr>
            <w:fldChar w:fldCharType="end"/>
          </w:r>
        </w:p>
        <w:p>
          <w:pPr>
            <w:pStyle w:val="10"/>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_Toc23837 </w:instrText>
          </w:r>
          <w:r>
            <w:rPr>
              <w:rFonts w:hint="eastAsia" w:hAnsi="仿宋" w:eastAsia="仿宋" w:cs="仿宋"/>
              <w:bCs/>
              <w:szCs w:val="24"/>
              <w:lang w:val="zh-CN"/>
            </w:rPr>
            <w:fldChar w:fldCharType="separate"/>
          </w:r>
          <w:r>
            <w:rPr>
              <w:rFonts w:hint="eastAsia" w:ascii="华文仿宋" w:hAnsi="华文仿宋" w:eastAsia="华文仿宋"/>
            </w:rPr>
            <w:t>二、商业银行资管理业务转型系统解决方案</w:t>
          </w:r>
          <w:r>
            <w:tab/>
          </w:r>
          <w:r>
            <w:fldChar w:fldCharType="begin"/>
          </w:r>
          <w:r>
            <w:instrText xml:space="preserve"> PAGEREF _Toc23837 </w:instrText>
          </w:r>
          <w:r>
            <w:fldChar w:fldCharType="separate"/>
          </w:r>
          <w:r>
            <w:t>4</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_Toc9096 </w:instrText>
          </w:r>
          <w:r>
            <w:rPr>
              <w:rFonts w:hint="eastAsia" w:hAnsi="仿宋" w:eastAsia="仿宋" w:cs="仿宋"/>
              <w:bCs/>
              <w:szCs w:val="24"/>
              <w:lang w:val="zh-CN"/>
            </w:rPr>
            <w:fldChar w:fldCharType="separate"/>
          </w:r>
          <w:r>
            <w:rPr>
              <w:rFonts w:ascii="华文仿宋" w:hAnsi="华文仿宋" w:eastAsia="华文仿宋"/>
            </w:rPr>
            <w:t>2.1</w:t>
          </w:r>
          <w:r>
            <w:rPr>
              <w:rFonts w:hint="eastAsia" w:ascii="华文仿宋" w:hAnsi="华文仿宋" w:eastAsia="华文仿宋"/>
            </w:rPr>
            <w:t>小利润大市场——长尾客户财富管理可期</w:t>
          </w:r>
          <w:r>
            <w:tab/>
          </w:r>
          <w:r>
            <w:fldChar w:fldCharType="begin"/>
          </w:r>
          <w:r>
            <w:instrText xml:space="preserve"> PAGEREF _Toc9096 </w:instrText>
          </w:r>
          <w:r>
            <w:fldChar w:fldCharType="separate"/>
          </w:r>
          <w:r>
            <w:t>4</w:t>
          </w:r>
          <w:r>
            <w:fldChar w:fldCharType="end"/>
          </w:r>
          <w:r>
            <w:rPr>
              <w:rFonts w:hint="eastAsia" w:hAnsi="仿宋" w:eastAsia="仿宋" w:cs="仿宋"/>
              <w:bCs/>
              <w:szCs w:val="24"/>
              <w:lang w:val="zh-CN"/>
            </w:rPr>
            <w:fldChar w:fldCharType="end"/>
          </w:r>
        </w:p>
        <w:p>
          <w:pPr>
            <w:pStyle w:val="6"/>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_Toc22945 </w:instrText>
          </w:r>
          <w:r>
            <w:rPr>
              <w:rFonts w:hint="eastAsia" w:hAnsi="仿宋" w:eastAsia="仿宋" w:cs="仿宋"/>
              <w:bCs/>
              <w:szCs w:val="24"/>
              <w:lang w:val="zh-CN"/>
            </w:rPr>
            <w:fldChar w:fldCharType="separate"/>
          </w:r>
          <w:r>
            <w:rPr>
              <w:rFonts w:hint="eastAsia" w:ascii="华文仿宋" w:hAnsi="华文仿宋" w:eastAsia="华文仿宋"/>
            </w:rPr>
            <w:t>（1）系统功能规划</w:t>
          </w:r>
          <w:r>
            <w:tab/>
          </w:r>
          <w:r>
            <w:fldChar w:fldCharType="begin"/>
          </w:r>
          <w:r>
            <w:instrText xml:space="preserve"> PAGEREF _Toc22945 </w:instrText>
          </w:r>
          <w:r>
            <w:fldChar w:fldCharType="separate"/>
          </w:r>
          <w:r>
            <w:t>5</w:t>
          </w:r>
          <w:r>
            <w:fldChar w:fldCharType="end"/>
          </w:r>
          <w:r>
            <w:rPr>
              <w:rFonts w:hint="eastAsia" w:hAnsi="仿宋" w:eastAsia="仿宋" w:cs="仿宋"/>
              <w:bCs/>
              <w:szCs w:val="24"/>
              <w:lang w:val="zh-CN"/>
            </w:rPr>
            <w:fldChar w:fldCharType="end"/>
          </w:r>
        </w:p>
        <w:p>
          <w:pPr>
            <w:pStyle w:val="6"/>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_Toc28220 </w:instrText>
          </w:r>
          <w:r>
            <w:rPr>
              <w:rFonts w:hint="eastAsia" w:hAnsi="仿宋" w:eastAsia="仿宋" w:cs="仿宋"/>
              <w:bCs/>
              <w:szCs w:val="24"/>
              <w:lang w:val="zh-CN"/>
            </w:rPr>
            <w:fldChar w:fldCharType="separate"/>
          </w:r>
          <w:r>
            <w:rPr>
              <w:rFonts w:hint="eastAsia" w:ascii="华文仿宋" w:hAnsi="华文仿宋" w:eastAsia="华文仿宋"/>
            </w:rPr>
            <w:t>（2）系统筹备</w:t>
          </w:r>
          <w:r>
            <w:tab/>
          </w:r>
          <w:r>
            <w:fldChar w:fldCharType="begin"/>
          </w:r>
          <w:r>
            <w:instrText xml:space="preserve"> PAGEREF _Toc28220 </w:instrText>
          </w:r>
          <w:r>
            <w:fldChar w:fldCharType="separate"/>
          </w:r>
          <w:r>
            <w:t>7</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_Toc21219 </w:instrText>
          </w:r>
          <w:r>
            <w:rPr>
              <w:rFonts w:hint="eastAsia" w:hAnsi="仿宋" w:eastAsia="仿宋" w:cs="仿宋"/>
              <w:bCs/>
              <w:szCs w:val="24"/>
              <w:lang w:val="zh-CN"/>
            </w:rPr>
            <w:fldChar w:fldCharType="separate"/>
          </w:r>
          <w:r>
            <w:rPr>
              <w:rFonts w:ascii="华文仿宋" w:hAnsi="华文仿宋" w:eastAsia="华文仿宋"/>
            </w:rPr>
            <w:t xml:space="preserve">2.2 </w:t>
          </w:r>
          <w:r>
            <w:rPr>
              <w:rFonts w:hint="eastAsia" w:ascii="华文仿宋" w:hAnsi="华文仿宋" w:eastAsia="华文仿宋"/>
            </w:rPr>
            <w:t>巧借外力——投资亦可内外兼修</w:t>
          </w:r>
          <w:r>
            <w:tab/>
          </w:r>
          <w:r>
            <w:fldChar w:fldCharType="begin"/>
          </w:r>
          <w:r>
            <w:instrText xml:space="preserve"> PAGEREF _Toc21219 </w:instrText>
          </w:r>
          <w:r>
            <w:fldChar w:fldCharType="separate"/>
          </w:r>
          <w:r>
            <w:t>9</w:t>
          </w:r>
          <w:r>
            <w:fldChar w:fldCharType="end"/>
          </w:r>
          <w:r>
            <w:rPr>
              <w:rFonts w:hint="eastAsia" w:hAnsi="仿宋" w:eastAsia="仿宋" w:cs="仿宋"/>
              <w:bCs/>
              <w:szCs w:val="24"/>
              <w:lang w:val="zh-CN"/>
            </w:rPr>
            <w:fldChar w:fldCharType="end"/>
          </w:r>
        </w:p>
        <w:p>
          <w:pPr>
            <w:pStyle w:val="6"/>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_Toc10232 </w:instrText>
          </w:r>
          <w:r>
            <w:rPr>
              <w:rFonts w:hint="eastAsia" w:hAnsi="仿宋" w:eastAsia="仿宋" w:cs="仿宋"/>
              <w:bCs/>
              <w:szCs w:val="24"/>
              <w:lang w:val="zh-CN"/>
            </w:rPr>
            <w:fldChar w:fldCharType="separate"/>
          </w:r>
          <w:r>
            <w:rPr>
              <w:rFonts w:hint="eastAsia" w:ascii="华文仿宋" w:hAnsi="华文仿宋" w:eastAsia="华文仿宋"/>
            </w:rPr>
            <w:t>（1）系统功能规划</w:t>
          </w:r>
          <w:r>
            <w:tab/>
          </w:r>
          <w:r>
            <w:fldChar w:fldCharType="begin"/>
          </w:r>
          <w:r>
            <w:instrText xml:space="preserve"> PAGEREF _Toc10232 </w:instrText>
          </w:r>
          <w:r>
            <w:fldChar w:fldCharType="separate"/>
          </w:r>
          <w:r>
            <w:t>9</w:t>
          </w:r>
          <w:r>
            <w:fldChar w:fldCharType="end"/>
          </w:r>
          <w:r>
            <w:rPr>
              <w:rFonts w:hint="eastAsia" w:hAnsi="仿宋" w:eastAsia="仿宋" w:cs="仿宋"/>
              <w:bCs/>
              <w:szCs w:val="24"/>
              <w:lang w:val="zh-CN"/>
            </w:rPr>
            <w:fldChar w:fldCharType="end"/>
          </w:r>
        </w:p>
        <w:p>
          <w:pPr>
            <w:pStyle w:val="6"/>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_Toc8271 </w:instrText>
          </w:r>
          <w:r>
            <w:rPr>
              <w:rFonts w:hint="eastAsia" w:hAnsi="仿宋" w:eastAsia="仿宋" w:cs="仿宋"/>
              <w:bCs/>
              <w:szCs w:val="24"/>
              <w:lang w:val="zh-CN"/>
            </w:rPr>
            <w:fldChar w:fldCharType="separate"/>
          </w:r>
          <w:r>
            <w:rPr>
              <w:rFonts w:hint="eastAsia" w:ascii="华文仿宋" w:hAnsi="华文仿宋" w:eastAsia="华文仿宋"/>
            </w:rPr>
            <w:t>（2）系统筹备</w:t>
          </w:r>
          <w:r>
            <w:tab/>
          </w:r>
          <w:r>
            <w:fldChar w:fldCharType="begin"/>
          </w:r>
          <w:r>
            <w:instrText xml:space="preserve"> PAGEREF _Toc8271 </w:instrText>
          </w:r>
          <w:r>
            <w:fldChar w:fldCharType="separate"/>
          </w:r>
          <w:r>
            <w:t>11</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_Toc3701 </w:instrText>
          </w:r>
          <w:r>
            <w:rPr>
              <w:rFonts w:hint="eastAsia" w:hAnsi="仿宋" w:eastAsia="仿宋" w:cs="仿宋"/>
              <w:bCs/>
              <w:szCs w:val="24"/>
              <w:lang w:val="zh-CN"/>
            </w:rPr>
            <w:fldChar w:fldCharType="separate"/>
          </w:r>
          <w:r>
            <w:rPr>
              <w:rFonts w:ascii="华文仿宋" w:hAnsi="华文仿宋" w:eastAsia="华文仿宋"/>
            </w:rPr>
            <w:t>2.3</w:t>
          </w:r>
          <w:r>
            <w:rPr>
              <w:rFonts w:hint="eastAsia" w:ascii="华文仿宋" w:hAnsi="华文仿宋" w:eastAsia="华文仿宋"/>
            </w:rPr>
            <w:t>数据驱动——运营需要风险穿透</w:t>
          </w:r>
          <w:r>
            <w:tab/>
          </w:r>
          <w:r>
            <w:fldChar w:fldCharType="begin"/>
          </w:r>
          <w:r>
            <w:instrText xml:space="preserve"> PAGEREF _Toc3701 </w:instrText>
          </w:r>
          <w:r>
            <w:fldChar w:fldCharType="separate"/>
          </w:r>
          <w:r>
            <w:t>13</w:t>
          </w:r>
          <w:r>
            <w:fldChar w:fldCharType="end"/>
          </w:r>
          <w:r>
            <w:rPr>
              <w:rFonts w:hint="eastAsia" w:hAnsi="仿宋" w:eastAsia="仿宋" w:cs="仿宋"/>
              <w:bCs/>
              <w:szCs w:val="24"/>
              <w:lang w:val="zh-CN"/>
            </w:rPr>
            <w:fldChar w:fldCharType="end"/>
          </w:r>
        </w:p>
        <w:p>
          <w:pPr>
            <w:pStyle w:val="6"/>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_Toc17585 </w:instrText>
          </w:r>
          <w:r>
            <w:rPr>
              <w:rFonts w:hint="eastAsia" w:hAnsi="仿宋" w:eastAsia="仿宋" w:cs="仿宋"/>
              <w:bCs/>
              <w:szCs w:val="24"/>
              <w:lang w:val="zh-CN"/>
            </w:rPr>
            <w:fldChar w:fldCharType="separate"/>
          </w:r>
          <w:r>
            <w:rPr>
              <w:rFonts w:hint="eastAsia" w:ascii="华文仿宋" w:hAnsi="华文仿宋" w:eastAsia="华文仿宋"/>
            </w:rPr>
            <w:t>（1）系统功能规划</w:t>
          </w:r>
          <w:r>
            <w:tab/>
          </w:r>
          <w:r>
            <w:fldChar w:fldCharType="begin"/>
          </w:r>
          <w:r>
            <w:instrText xml:space="preserve"> PAGEREF _Toc17585 </w:instrText>
          </w:r>
          <w:r>
            <w:fldChar w:fldCharType="separate"/>
          </w:r>
          <w:r>
            <w:t>13</w:t>
          </w:r>
          <w:r>
            <w:fldChar w:fldCharType="end"/>
          </w:r>
          <w:r>
            <w:rPr>
              <w:rFonts w:hint="eastAsia" w:hAnsi="仿宋" w:eastAsia="仿宋" w:cs="仿宋"/>
              <w:bCs/>
              <w:szCs w:val="24"/>
              <w:lang w:val="zh-CN"/>
            </w:rPr>
            <w:fldChar w:fldCharType="end"/>
          </w:r>
        </w:p>
        <w:p>
          <w:pPr>
            <w:pStyle w:val="6"/>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_Toc19816 </w:instrText>
          </w:r>
          <w:r>
            <w:rPr>
              <w:rFonts w:hint="eastAsia" w:hAnsi="仿宋" w:eastAsia="仿宋" w:cs="仿宋"/>
              <w:bCs/>
              <w:szCs w:val="24"/>
              <w:lang w:val="zh-CN"/>
            </w:rPr>
            <w:fldChar w:fldCharType="separate"/>
          </w:r>
          <w:r>
            <w:rPr>
              <w:rFonts w:hint="eastAsia" w:ascii="华文仿宋" w:hAnsi="华文仿宋" w:eastAsia="华文仿宋"/>
            </w:rPr>
            <w:t>（2）系统筹备</w:t>
          </w:r>
          <w:r>
            <w:tab/>
          </w:r>
          <w:r>
            <w:fldChar w:fldCharType="begin"/>
          </w:r>
          <w:r>
            <w:instrText xml:space="preserve"> PAGEREF _Toc19816 </w:instrText>
          </w:r>
          <w:r>
            <w:fldChar w:fldCharType="separate"/>
          </w:r>
          <w:r>
            <w:t>13</w:t>
          </w:r>
          <w:r>
            <w:fldChar w:fldCharType="end"/>
          </w:r>
          <w:r>
            <w:rPr>
              <w:rFonts w:hint="eastAsia" w:hAnsi="仿宋" w:eastAsia="仿宋" w:cs="仿宋"/>
              <w:bCs/>
              <w:szCs w:val="24"/>
              <w:lang w:val="zh-CN"/>
            </w:rPr>
            <w:fldChar w:fldCharType="end"/>
          </w:r>
        </w:p>
        <w:p>
          <w:pPr>
            <w:pStyle w:val="10"/>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_Toc26803 </w:instrText>
          </w:r>
          <w:r>
            <w:rPr>
              <w:rFonts w:hint="eastAsia" w:hAnsi="仿宋" w:eastAsia="仿宋" w:cs="仿宋"/>
              <w:bCs/>
              <w:szCs w:val="24"/>
              <w:lang w:val="zh-CN"/>
            </w:rPr>
            <w:fldChar w:fldCharType="separate"/>
          </w:r>
          <w:r>
            <w:rPr>
              <w:rFonts w:hint="eastAsia" w:ascii="华文仿宋" w:hAnsi="华文仿宋" w:eastAsia="华文仿宋"/>
            </w:rPr>
            <w:t>三、智能资管建设思路及规划</w:t>
          </w:r>
          <w:r>
            <w:tab/>
          </w:r>
          <w:r>
            <w:fldChar w:fldCharType="begin"/>
          </w:r>
          <w:r>
            <w:instrText xml:space="preserve"> PAGEREF _Toc26803 </w:instrText>
          </w:r>
          <w:r>
            <w:fldChar w:fldCharType="separate"/>
          </w:r>
          <w:r>
            <w:t>15</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_Toc3948 </w:instrText>
          </w:r>
          <w:r>
            <w:rPr>
              <w:rFonts w:hint="eastAsia" w:hAnsi="仿宋" w:eastAsia="仿宋" w:cs="仿宋"/>
              <w:bCs/>
              <w:szCs w:val="24"/>
              <w:lang w:val="zh-CN"/>
            </w:rPr>
            <w:fldChar w:fldCharType="separate"/>
          </w:r>
          <w:r>
            <w:rPr>
              <w:rFonts w:hint="eastAsia" w:ascii="华文仿宋" w:hAnsi="华文仿宋" w:eastAsia="华文仿宋"/>
            </w:rPr>
            <w:t>3</w:t>
          </w:r>
          <w:r>
            <w:rPr>
              <w:rFonts w:ascii="华文仿宋" w:hAnsi="华文仿宋" w:eastAsia="华文仿宋"/>
            </w:rPr>
            <w:t xml:space="preserve">.1 </w:t>
          </w:r>
          <w:r>
            <w:rPr>
              <w:rFonts w:hint="eastAsia" w:ascii="华文仿宋" w:hAnsi="华文仿宋" w:eastAsia="华文仿宋"/>
            </w:rPr>
            <w:t>整体规划</w:t>
          </w:r>
          <w:r>
            <w:tab/>
          </w:r>
          <w:r>
            <w:fldChar w:fldCharType="begin"/>
          </w:r>
          <w:r>
            <w:instrText xml:space="preserve"> PAGEREF _Toc3948 </w:instrText>
          </w:r>
          <w:r>
            <w:fldChar w:fldCharType="separate"/>
          </w:r>
          <w:r>
            <w:t>16</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_Toc9886 </w:instrText>
          </w:r>
          <w:r>
            <w:rPr>
              <w:rFonts w:hint="eastAsia" w:hAnsi="仿宋" w:eastAsia="仿宋" w:cs="仿宋"/>
              <w:bCs/>
              <w:szCs w:val="24"/>
              <w:lang w:val="zh-CN"/>
            </w:rPr>
            <w:fldChar w:fldCharType="separate"/>
          </w:r>
          <w:r>
            <w:rPr>
              <w:rFonts w:hint="eastAsia" w:ascii="华文仿宋" w:hAnsi="华文仿宋" w:eastAsia="华文仿宋"/>
            </w:rPr>
            <w:t>3</w:t>
          </w:r>
          <w:r>
            <w:rPr>
              <w:rFonts w:ascii="华文仿宋" w:hAnsi="华文仿宋" w:eastAsia="华文仿宋"/>
            </w:rPr>
            <w:t xml:space="preserve">.2 </w:t>
          </w:r>
          <w:r>
            <w:rPr>
              <w:rFonts w:hint="eastAsia" w:ascii="华文仿宋" w:hAnsi="华文仿宋" w:eastAsia="华文仿宋"/>
            </w:rPr>
            <w:t>分步实施</w:t>
          </w:r>
          <w:r>
            <w:tab/>
          </w:r>
          <w:r>
            <w:fldChar w:fldCharType="begin"/>
          </w:r>
          <w:r>
            <w:instrText xml:space="preserve"> PAGEREF _Toc9886 </w:instrText>
          </w:r>
          <w:r>
            <w:fldChar w:fldCharType="separate"/>
          </w:r>
          <w:r>
            <w:t>16</w:t>
          </w:r>
          <w:r>
            <w:fldChar w:fldCharType="end"/>
          </w:r>
          <w:r>
            <w:rPr>
              <w:rFonts w:hint="eastAsia" w:hAnsi="仿宋" w:eastAsia="仿宋" w:cs="仿宋"/>
              <w:bCs/>
              <w:szCs w:val="24"/>
              <w:lang w:val="zh-CN"/>
            </w:rPr>
            <w:fldChar w:fldCharType="end"/>
          </w:r>
        </w:p>
        <w:p>
          <w:pPr>
            <w:pStyle w:val="12"/>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_Toc8032 </w:instrText>
          </w:r>
          <w:r>
            <w:rPr>
              <w:rFonts w:hint="eastAsia" w:hAnsi="仿宋" w:eastAsia="仿宋" w:cs="仿宋"/>
              <w:bCs/>
              <w:szCs w:val="24"/>
              <w:lang w:val="zh-CN"/>
            </w:rPr>
            <w:fldChar w:fldCharType="separate"/>
          </w:r>
          <w:r>
            <w:rPr>
              <w:rFonts w:hint="eastAsia" w:ascii="华文仿宋" w:hAnsi="华文仿宋" w:eastAsia="华文仿宋"/>
            </w:rPr>
            <w:t>3</w:t>
          </w:r>
          <w:r>
            <w:rPr>
              <w:rFonts w:ascii="华文仿宋" w:hAnsi="华文仿宋" w:eastAsia="华文仿宋"/>
            </w:rPr>
            <w:t xml:space="preserve">.3 </w:t>
          </w:r>
          <w:r>
            <w:rPr>
              <w:rFonts w:hint="eastAsia" w:ascii="华文仿宋" w:hAnsi="华文仿宋" w:eastAsia="华文仿宋"/>
            </w:rPr>
            <w:t>快速迭代与系统整合</w:t>
          </w:r>
          <w:r>
            <w:tab/>
          </w:r>
          <w:r>
            <w:fldChar w:fldCharType="begin"/>
          </w:r>
          <w:r>
            <w:instrText xml:space="preserve"> PAGEREF _Toc8032 </w:instrText>
          </w:r>
          <w:r>
            <w:fldChar w:fldCharType="separate"/>
          </w:r>
          <w:r>
            <w:t>18</w:t>
          </w:r>
          <w:r>
            <w:fldChar w:fldCharType="end"/>
          </w:r>
          <w:r>
            <w:rPr>
              <w:rFonts w:hint="eastAsia" w:hAnsi="仿宋" w:eastAsia="仿宋" w:cs="仿宋"/>
              <w:bCs/>
              <w:szCs w:val="24"/>
              <w:lang w:val="zh-CN"/>
            </w:rPr>
            <w:fldChar w:fldCharType="end"/>
          </w:r>
        </w:p>
        <w:p>
          <w:pPr>
            <w:pStyle w:val="10"/>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_Toc6339 </w:instrText>
          </w:r>
          <w:r>
            <w:rPr>
              <w:rFonts w:hint="eastAsia" w:hAnsi="仿宋" w:eastAsia="仿宋" w:cs="仿宋"/>
              <w:bCs/>
              <w:szCs w:val="24"/>
              <w:lang w:val="zh-CN"/>
            </w:rPr>
            <w:fldChar w:fldCharType="separate"/>
          </w:r>
          <w:r>
            <w:rPr>
              <w:rFonts w:hint="eastAsia" w:ascii="华文仿宋" w:hAnsi="华文仿宋" w:eastAsia="华文仿宋"/>
              <w:szCs w:val="32"/>
            </w:rPr>
            <w:t>专栏1：工商银行数据仓库建设</w:t>
          </w:r>
          <w:r>
            <w:tab/>
          </w:r>
          <w:r>
            <w:fldChar w:fldCharType="begin"/>
          </w:r>
          <w:r>
            <w:instrText xml:space="preserve"> PAGEREF _Toc6339 </w:instrText>
          </w:r>
          <w:r>
            <w:fldChar w:fldCharType="separate"/>
          </w:r>
          <w:r>
            <w:t>19</w:t>
          </w:r>
          <w:r>
            <w:fldChar w:fldCharType="end"/>
          </w:r>
          <w:r>
            <w:rPr>
              <w:rFonts w:hint="eastAsia" w:hAnsi="仿宋" w:eastAsia="仿宋" w:cs="仿宋"/>
              <w:bCs/>
              <w:szCs w:val="24"/>
              <w:lang w:val="zh-CN"/>
            </w:rPr>
            <w:fldChar w:fldCharType="end"/>
          </w:r>
        </w:p>
        <w:p>
          <w:pPr>
            <w:pStyle w:val="10"/>
            <w:tabs>
              <w:tab w:val="right" w:leader="dot" w:pos="8306"/>
            </w:tabs>
          </w:pPr>
          <w:r>
            <w:rPr>
              <w:rFonts w:hint="eastAsia" w:hAnsi="仿宋" w:eastAsia="仿宋" w:cs="仿宋"/>
              <w:bCs/>
              <w:szCs w:val="24"/>
              <w:lang w:val="zh-CN"/>
            </w:rPr>
            <w:fldChar w:fldCharType="begin"/>
          </w:r>
          <w:r>
            <w:rPr>
              <w:rFonts w:hint="eastAsia" w:hAnsi="仿宋" w:eastAsia="仿宋" w:cs="仿宋"/>
              <w:bCs/>
              <w:szCs w:val="24"/>
              <w:lang w:val="zh-CN"/>
            </w:rPr>
            <w:instrText xml:space="preserve"> HYPERLINK \l _Toc26003 </w:instrText>
          </w:r>
          <w:r>
            <w:rPr>
              <w:rFonts w:hint="eastAsia" w:hAnsi="仿宋" w:eastAsia="仿宋" w:cs="仿宋"/>
              <w:bCs/>
              <w:szCs w:val="24"/>
              <w:lang w:val="zh-CN"/>
            </w:rPr>
            <w:fldChar w:fldCharType="separate"/>
          </w:r>
          <w:r>
            <w:rPr>
              <w:rFonts w:hint="eastAsia" w:ascii="华文仿宋" w:hAnsi="华文仿宋" w:eastAsia="华文仿宋"/>
              <w:szCs w:val="32"/>
            </w:rPr>
            <w:t>专栏2：德意志银行数字化生态体系战略</w:t>
          </w:r>
          <w:r>
            <w:tab/>
          </w:r>
          <w:r>
            <w:fldChar w:fldCharType="begin"/>
          </w:r>
          <w:r>
            <w:instrText xml:space="preserve"> PAGEREF _Toc26003 </w:instrText>
          </w:r>
          <w:r>
            <w:fldChar w:fldCharType="separate"/>
          </w:r>
          <w:r>
            <w:t>20</w:t>
          </w:r>
          <w:r>
            <w:fldChar w:fldCharType="end"/>
          </w:r>
          <w:r>
            <w:rPr>
              <w:rFonts w:hint="eastAsia" w:hAnsi="仿宋" w:eastAsia="仿宋" w:cs="仿宋"/>
              <w:bCs/>
              <w:szCs w:val="24"/>
              <w:lang w:val="zh-CN"/>
            </w:rPr>
            <w:fldChar w:fldCharType="end"/>
          </w:r>
        </w:p>
        <w:p>
          <w:pPr>
            <w:spacing w:line="400" w:lineRule="exact"/>
          </w:pPr>
          <w:r>
            <w:rPr>
              <w:rFonts w:hint="eastAsia" w:hAnsi="仿宋" w:eastAsia="仿宋" w:cs="仿宋"/>
              <w:bCs/>
              <w:szCs w:val="24"/>
              <w:lang w:val="zh-CN"/>
            </w:rPr>
            <w:fldChar w:fldCharType="end"/>
          </w:r>
        </w:p>
      </w:sdtContent>
    </w:sdt>
    <w:p>
      <w:pPr>
        <w:rPr>
          <w:rFonts w:ascii="仿宋" w:hAnsi="仿宋" w:eastAsia="仿宋"/>
          <w:b/>
          <w:sz w:val="28"/>
          <w:szCs w:val="28"/>
        </w:rPr>
        <w:sectPr>
          <w:footerReference r:id="rId5" w:type="default"/>
          <w:pgSz w:w="11906" w:h="16838"/>
          <w:pgMar w:top="1440" w:right="1800" w:bottom="1440" w:left="1800" w:header="851" w:footer="992" w:gutter="0"/>
          <w:pgNumType w:start="1"/>
          <w:cols w:space="425" w:num="1"/>
          <w:docGrid w:type="lines" w:linePitch="312" w:charSpace="0"/>
        </w:sectPr>
      </w:pPr>
    </w:p>
    <w:p>
      <w:pPr>
        <w:pStyle w:val="2"/>
        <w:rPr>
          <w:rFonts w:ascii="华文仿宋" w:hAnsi="华文仿宋" w:eastAsia="华文仿宋"/>
        </w:rPr>
      </w:pPr>
      <w:bookmarkStart w:id="2" w:name="_Toc11421"/>
      <w:r>
        <w:rPr>
          <w:rFonts w:hint="eastAsia" w:ascii="华文仿宋" w:hAnsi="华文仿宋" w:eastAsia="华文仿宋"/>
        </w:rPr>
        <w:t>一、理财新规下商业银行资管业务转型痛点</w:t>
      </w:r>
      <w:bookmarkEnd w:id="2"/>
    </w:p>
    <w:p>
      <w:pPr>
        <w:pStyle w:val="3"/>
        <w:rPr>
          <w:rFonts w:ascii="华文仿宋" w:hAnsi="华文仿宋" w:eastAsia="华文仿宋"/>
        </w:rPr>
      </w:pPr>
      <w:bookmarkStart w:id="3" w:name="_Toc7569"/>
      <w:r>
        <w:rPr>
          <w:rFonts w:hint="eastAsia" w:ascii="华文仿宋" w:hAnsi="华文仿宋" w:eastAsia="华文仿宋"/>
        </w:rPr>
        <w:t>1</w:t>
      </w:r>
      <w:r>
        <w:rPr>
          <w:rFonts w:ascii="华文仿宋" w:hAnsi="华文仿宋" w:eastAsia="华文仿宋"/>
        </w:rPr>
        <w:t>.1</w:t>
      </w:r>
      <w:r>
        <w:rPr>
          <w:rFonts w:hint="eastAsia" w:ascii="华文仿宋" w:hAnsi="华文仿宋" w:eastAsia="华文仿宋"/>
        </w:rPr>
        <w:t>营销管理——传统管理方式将无法挖掘巨大的长尾客户市场</w:t>
      </w:r>
      <w:bookmarkEnd w:id="3"/>
      <w:r>
        <w:rPr>
          <w:rFonts w:hint="eastAsia" w:ascii="华文仿宋" w:hAnsi="华文仿宋" w:eastAsia="华文仿宋"/>
        </w:rPr>
        <w:t xml:space="preserve"> </w:t>
      </w:r>
    </w:p>
    <w:p>
      <w:pPr>
        <w:spacing w:line="360" w:lineRule="auto"/>
        <w:ind w:firstLine="480" w:firstLineChars="200"/>
        <w:rPr>
          <w:rFonts w:ascii="华文仿宋" w:hAnsi="华文仿宋" w:eastAsia="华文仿宋"/>
          <w:b/>
          <w:sz w:val="24"/>
          <w:szCs w:val="24"/>
        </w:rPr>
      </w:pPr>
      <w:r>
        <w:rPr>
          <w:rFonts w:hint="eastAsia" w:ascii="华文仿宋" w:hAnsi="华文仿宋" w:eastAsia="华文仿宋"/>
          <w:b/>
          <w:sz w:val="24"/>
          <w:szCs w:val="24"/>
        </w:rPr>
        <w:t>理财新规中银行理财门槛的大幅下降利好长尾客户市场，但是传统的客户服务管理方式无法支撑对长尾客户市场的充分挖掘。</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政策来看，首次购买“面签”和“双录”的规定限制了银行通过互联网模式来吸引长尾客户，需要银行通过线上与线下相结合的方式，深度融合金融科技的力量，激活沉淀僵尸客户，通过综合服务和交叉销售获利，但是同时也要求银行对财富管理端进行彻底改造；</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获客与渠道来看，理财新规对银行销售渠道的限制，使得银行理财在日益成熟的共享金融所带来金融脱媒过程中，获客能力进一步受到掣肘。面向高度分散化、流量巨大的平台化金融消费场景，传统的银行网点模式显得束手无策；</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产品宣传来看，理财新规对“预期收益”宣传的禁止，使得理财产品“刚性收益”的竞争宣传成为过去式。银行在失去预期收益和刚性兑付两块“金字招牌”庇护后，银行资管实力成为产品宣传中的利剑，但是长尾客户群体过于庞大，如何快速达到预期宣传效果，又将是一大难题；</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服务来看，传统银行理财主要以客户经理为中心在线下网点开展客户服务，服务半径有限，难以适应长尾客户“小额高频”的服务模式，面对广阔的长尾客群，单个客户的盈利更难以覆盖高昂的边际成本，而伴随着理财产品净值化转型以及宣传策略的变更，低风险偏好客户的流失也将是银行理财业务面临的重大考验；</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从信息披露要求来看，投资者适当性管理要求更加严格，传统的人力服务将难以胜任不同于以往的工作量级。理财新规对信息披露的深度、广度等诸多要求，使得传统人工进行信息披露与监管报送的人力成本过高，传统方式将难以为继。</w:t>
      </w: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bookmarkStart w:id="4" w:name="OLE_LINK9"/>
            <w:bookmarkStart w:id="5" w:name="OLE_LINK11"/>
            <w:bookmarkStart w:id="6" w:name="OLE_LINK10"/>
            <w:r>
              <w:rPr>
                <w:rFonts w:hint="eastAsia" w:ascii="华文仿宋" w:hAnsi="华文仿宋" w:eastAsia="华文仿宋"/>
                <w:b/>
                <w:bCs/>
                <w:color w:val="FFFFFF" w:themeColor="background1"/>
                <w:szCs w:val="21"/>
                <w14:textFill>
                  <w14:solidFill>
                    <w14:schemeClr w14:val="bg1"/>
                  </w14:solidFill>
                </w14:textFill>
              </w:rPr>
              <w:t>图表1：</w:t>
            </w:r>
            <w:r>
              <w:rPr>
                <w:rFonts w:hint="eastAsia" w:ascii="华文仿宋" w:hAnsi="华文仿宋" w:eastAsia="华文仿宋"/>
                <w:b/>
                <w:color w:val="FFFFFF" w:themeColor="background1"/>
                <w:szCs w:val="21"/>
                <w14:textFill>
                  <w14:solidFill>
                    <w14:schemeClr w14:val="bg1"/>
                  </w14:solidFill>
                </w14:textFill>
              </w:rPr>
              <w:t>近年来我国货币基金规模的迅速扩大显示出了长尾客户市场的巨大潜力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spacing w:line="360" w:lineRule="auto"/>
              <w:rPr>
                <w:rFonts w:ascii="华文仿宋" w:hAnsi="华文仿宋" w:eastAsia="华文仿宋"/>
                <w:sz w:val="24"/>
                <w:szCs w:val="24"/>
              </w:rPr>
            </w:pPr>
            <w:r>
              <w:rPr>
                <w:sz w:val="28"/>
                <w:szCs w:val="28"/>
              </w:rPr>
              <w:drawing>
                <wp:inline distT="0" distB="0" distL="114300" distR="114300">
                  <wp:extent cx="5089525" cy="2490470"/>
                  <wp:effectExtent l="0" t="0" r="15875" b="5080"/>
                  <wp:docPr id="2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rPr>
                <w:rFonts w:ascii="华文仿宋" w:hAnsi="华文仿宋" w:eastAsia="华文仿宋"/>
                <w:szCs w:val="21"/>
              </w:rPr>
            </w:pPr>
            <w:r>
              <w:rPr>
                <w:rFonts w:hint="eastAsia" w:ascii="华文仿宋" w:hAnsi="华文仿宋" w:eastAsia="华文仿宋"/>
                <w:szCs w:val="21"/>
              </w:rPr>
              <w:t>数据来源：普益标准整理</w:t>
            </w:r>
          </w:p>
        </w:tc>
      </w:tr>
      <w:bookmarkEnd w:id="4"/>
      <w:bookmarkEnd w:id="5"/>
      <w:bookmarkEnd w:id="6"/>
    </w:tbl>
    <w:p>
      <w:pPr>
        <w:pStyle w:val="3"/>
        <w:rPr>
          <w:rFonts w:ascii="华文仿宋" w:hAnsi="华文仿宋" w:eastAsia="华文仿宋"/>
        </w:rPr>
      </w:pPr>
      <w:bookmarkStart w:id="7" w:name="_Toc4266"/>
      <w:r>
        <w:rPr>
          <w:rFonts w:hint="eastAsia" w:ascii="华文仿宋" w:hAnsi="华文仿宋" w:eastAsia="华文仿宋"/>
        </w:rPr>
        <w:t>1</w:t>
      </w:r>
      <w:r>
        <w:rPr>
          <w:rFonts w:ascii="华文仿宋" w:hAnsi="华文仿宋" w:eastAsia="华文仿宋"/>
        </w:rPr>
        <w:t>.2</w:t>
      </w:r>
      <w:r>
        <w:rPr>
          <w:rFonts w:hint="eastAsia" w:ascii="华文仿宋" w:hAnsi="华文仿宋" w:eastAsia="华文仿宋"/>
        </w:rPr>
        <w:t>投资配置——自主投研能力欠缺、委外合作机构管理不足</w:t>
      </w:r>
      <w:bookmarkEnd w:id="7"/>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bCs/>
          <w:sz w:val="24"/>
          <w:szCs w:val="24"/>
        </w:rPr>
        <w:t>过大的人均资产管理规模制约投研能力快速提升。</w:t>
      </w:r>
      <w:r>
        <w:rPr>
          <w:rFonts w:hint="eastAsia" w:ascii="华文仿宋" w:hAnsi="华文仿宋" w:eastAsia="华文仿宋"/>
          <w:sz w:val="24"/>
          <w:szCs w:val="24"/>
        </w:rPr>
        <w:t>在人才配备不足的情况下</w:t>
      </w:r>
      <w:r>
        <w:rPr>
          <w:rStyle w:val="16"/>
          <w:rFonts w:ascii="华文仿宋" w:hAnsi="华文仿宋" w:eastAsia="华文仿宋"/>
          <w:sz w:val="24"/>
          <w:szCs w:val="24"/>
        </w:rPr>
        <w:footnoteReference w:id="0"/>
      </w:r>
      <w:r>
        <w:rPr>
          <w:rFonts w:hint="eastAsia" w:ascii="华文仿宋" w:hAnsi="华文仿宋" w:eastAsia="华文仿宋"/>
          <w:sz w:val="24"/>
          <w:szCs w:val="24"/>
        </w:rPr>
        <w:t>，投研能力短期无法通过人才队伍的扩充而迅速提升。人才队伍的扩充需要有更适用的组织管理模式和配套的薪酬体系及激励制度。不论是事业部制或资管子公司制，人才的扩充与培养需要一定的时间，那么在短期提高投研的效率，提升生产组织效能便是关键，配套的系统便是实现提升效率与投研能力的可行路径。</w:t>
      </w:r>
    </w:p>
    <w:p>
      <w:pPr>
        <w:pStyle w:val="19"/>
        <w:spacing w:line="360" w:lineRule="auto"/>
        <w:ind w:firstLine="480"/>
        <w:rPr>
          <w:rFonts w:ascii="华文仿宋" w:hAnsi="华文仿宋" w:eastAsia="华文仿宋"/>
          <w:sz w:val="24"/>
          <w:szCs w:val="24"/>
        </w:rPr>
      </w:pPr>
      <w:r>
        <w:rPr>
          <w:rFonts w:hint="eastAsia" w:ascii="华文仿宋" w:hAnsi="华文仿宋" w:eastAsia="华文仿宋"/>
          <w:b/>
          <w:bCs/>
          <w:sz w:val="24"/>
          <w:szCs w:val="24"/>
        </w:rPr>
        <w:t>策略开发能力薄弱，运用的策略单一。</w:t>
      </w:r>
      <w:r>
        <w:rPr>
          <w:rFonts w:hint="eastAsia" w:ascii="华文仿宋" w:hAnsi="华文仿宋" w:eastAsia="华文仿宋"/>
          <w:sz w:val="24"/>
          <w:szCs w:val="24"/>
        </w:rPr>
        <w:t>传统的银行理财投资品种以（类）固定收益类资产为主，且债券投资以“持有到期”策略为主，相对基金与券商行业，银行对策略开发能力弱，策略运用单一，进而导致资管能力低下。伴随着客户群体的扩大，投资标的限制，资产配置策略将直接影响资管产品体系，考验银行的策略开发能力以及策略运用能力；</w:t>
      </w:r>
    </w:p>
    <w:p>
      <w:pPr>
        <w:pStyle w:val="19"/>
        <w:spacing w:line="360" w:lineRule="auto"/>
        <w:ind w:firstLine="480"/>
        <w:rPr>
          <w:rFonts w:ascii="华文仿宋" w:hAnsi="华文仿宋" w:eastAsia="华文仿宋"/>
          <w:sz w:val="24"/>
          <w:szCs w:val="24"/>
        </w:rPr>
      </w:pPr>
      <w:r>
        <w:rPr>
          <w:rFonts w:hint="eastAsia" w:ascii="华文仿宋" w:hAnsi="华文仿宋" w:eastAsia="华文仿宋"/>
          <w:b/>
          <w:sz w:val="24"/>
          <w:szCs w:val="24"/>
        </w:rPr>
        <w:t>粗放式委外管理模式不再满足“真资管”模式下提升主动管理能力的要求。</w:t>
      </w:r>
      <w:r>
        <w:rPr>
          <w:rFonts w:hint="eastAsia" w:ascii="华文仿宋" w:hAnsi="华文仿宋" w:eastAsia="华文仿宋"/>
          <w:sz w:val="24"/>
          <w:szCs w:val="24"/>
        </w:rPr>
        <w:t>理财新规要求银行需要切实履行投资管理职责，这需要银行完善对合作机构、管理人的精细化管理，承担相应的责任。传统对委外业务手工管理、对管理人简单的“白名单</w:t>
      </w:r>
      <w:r>
        <w:rPr>
          <w:rFonts w:ascii="华文仿宋" w:hAnsi="华文仿宋" w:eastAsia="华文仿宋"/>
          <w:sz w:val="24"/>
          <w:szCs w:val="24"/>
        </w:rPr>
        <w:t>”</w:t>
      </w:r>
      <w:r>
        <w:rPr>
          <w:rFonts w:hint="eastAsia" w:ascii="华文仿宋" w:hAnsi="华文仿宋" w:eastAsia="华文仿宋"/>
          <w:sz w:val="24"/>
          <w:szCs w:val="24"/>
        </w:rPr>
        <w:t>管理的方式将无法实现自身管理能力的提升以及对管理人的精细化管理；</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合</w:t>
      </w:r>
      <w:r>
        <w:rPr>
          <w:rFonts w:hint="eastAsia" w:ascii="华文仿宋" w:hAnsi="华文仿宋" w:eastAsia="华文仿宋"/>
          <w:b/>
          <w:color w:val="000000" w:themeColor="text1"/>
          <w:sz w:val="24"/>
          <w:szCs w:val="24"/>
          <w14:textFill>
            <w14:solidFill>
              <w14:schemeClr w14:val="tx1"/>
            </w14:solidFill>
          </w14:textFill>
        </w:rPr>
        <w:t>作机</w:t>
      </w:r>
      <w:r>
        <w:rPr>
          <w:rFonts w:hint="eastAsia" w:ascii="华文仿宋" w:hAnsi="华文仿宋" w:eastAsia="华文仿宋"/>
          <w:b/>
          <w:sz w:val="24"/>
          <w:szCs w:val="24"/>
        </w:rPr>
        <w:t>构的受限进一步限制了银行的策略运用以及风险收益谱系。</w:t>
      </w:r>
      <w:r>
        <w:rPr>
          <w:rFonts w:hint="eastAsia" w:ascii="华文仿宋" w:hAnsi="华文仿宋" w:eastAsia="华文仿宋"/>
          <w:sz w:val="24"/>
          <w:szCs w:val="24"/>
        </w:rPr>
        <w:t>理财新规对银行公募类产品合作机构需为持牌金融机构的限制使得银行与私募机构的合作受到巨大限制，制约了传统私募投顾或私募委外的方式，从而使得银行的投资策略受到一定限制，进而影响风险收益谱系。</w:t>
      </w:r>
    </w:p>
    <w:p>
      <w:pPr>
        <w:pStyle w:val="3"/>
        <w:rPr>
          <w:rFonts w:ascii="华文仿宋" w:hAnsi="华文仿宋" w:eastAsia="华文仿宋"/>
          <w:b w:val="0"/>
          <w:sz w:val="28"/>
          <w:szCs w:val="28"/>
        </w:rPr>
      </w:pPr>
      <w:bookmarkStart w:id="8" w:name="_Toc15728"/>
      <w:r>
        <w:rPr>
          <w:rFonts w:hint="eastAsia" w:ascii="华文仿宋" w:hAnsi="华文仿宋" w:eastAsia="华文仿宋"/>
        </w:rPr>
        <w:t>1</w:t>
      </w:r>
      <w:r>
        <w:rPr>
          <w:rFonts w:ascii="华文仿宋" w:hAnsi="华文仿宋" w:eastAsia="华文仿宋"/>
        </w:rPr>
        <w:t>.3</w:t>
      </w:r>
      <w:r>
        <w:rPr>
          <w:rFonts w:hint="eastAsia" w:ascii="华文仿宋" w:hAnsi="华文仿宋" w:eastAsia="华文仿宋"/>
        </w:rPr>
        <w:t>运营管理——运营模式颠覆、风险管理要求提升</w:t>
      </w:r>
      <w:bookmarkEnd w:id="8"/>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净值型产品的交易、估值、结算等诸多不同催生运营模式的颠覆。</w:t>
      </w:r>
      <w:r>
        <w:rPr>
          <w:rFonts w:hint="eastAsia" w:ascii="华文仿宋" w:hAnsi="华文仿宋" w:eastAsia="华文仿宋"/>
          <w:sz w:val="24"/>
          <w:szCs w:val="24"/>
        </w:rPr>
        <w:t>从资产交易来看，“持有到期”模式向“交易+持有到期”对系统的要求将不同于以往；从产品估值定价来看，市值法的要求，使得手工记账估值的方式将难以为继；从产品结算来看，产品净值在不断波动，与些同时，长尾客群的扩大，对结算系统的便捷性、稳定性有了更高的要求……不论是交易、估值、还是结算，均需要更为强大的系统支撑；</w:t>
      </w:r>
    </w:p>
    <w:p>
      <w:pPr>
        <w:spacing w:line="360" w:lineRule="auto"/>
        <w:ind w:firstLine="480" w:firstLineChars="200"/>
        <w:rPr>
          <w:rFonts w:ascii="华文仿宋" w:hAnsi="华文仿宋" w:eastAsia="华文仿宋"/>
          <w:bCs/>
          <w:sz w:val="24"/>
          <w:szCs w:val="24"/>
        </w:rPr>
      </w:pPr>
      <w:r>
        <w:rPr>
          <w:rFonts w:hint="eastAsia" w:ascii="华文仿宋" w:hAnsi="华文仿宋" w:eastAsia="华文仿宋"/>
          <w:b/>
          <w:bCs/>
          <w:sz w:val="24"/>
          <w:szCs w:val="24"/>
        </w:rPr>
        <w:t>银行理财风险管理的深度与广度将持续延伸。</w:t>
      </w:r>
      <w:r>
        <w:rPr>
          <w:rFonts w:hint="eastAsia" w:ascii="华文仿宋" w:hAnsi="华文仿宋" w:eastAsia="华文仿宋"/>
          <w:bCs/>
          <w:sz w:val="24"/>
          <w:szCs w:val="24"/>
        </w:rPr>
        <w:t>理财新规对于资管业务的风险管理提出了更高的要求，尤其是流动性风险管理，包括压力测试、规范开放式理财产品的认购与赎回等。资管业务转型下，银行需要做到风险穿透，而风险穿透的前提就是尽最大可能减轻信息不对称，需要依托于对信息、数据的穿透管理。银行的资管业务战略将与风险结合，风险管理能力是控制产品净值波动，维护客户的有效方法，如何快速提升风险管理能力及效率将是银行不得不面临的挑战；</w:t>
      </w:r>
    </w:p>
    <w:p>
      <w:pPr>
        <w:spacing w:line="360" w:lineRule="auto"/>
        <w:ind w:firstLine="480" w:firstLineChars="200"/>
        <w:rPr>
          <w:rFonts w:ascii="华文仿宋" w:hAnsi="华文仿宋" w:eastAsia="华文仿宋"/>
          <w:bCs/>
          <w:sz w:val="24"/>
          <w:szCs w:val="24"/>
        </w:rPr>
      </w:pPr>
      <w:r>
        <w:rPr>
          <w:rFonts w:hint="eastAsia" w:ascii="华文仿宋" w:hAnsi="华文仿宋" w:eastAsia="华文仿宋"/>
          <w:b/>
          <w:bCs/>
          <w:sz w:val="24"/>
          <w:szCs w:val="24"/>
        </w:rPr>
        <w:t>逐步向资管子公司过渡需要银行资管部门实现独立的资管业务运营与管理能力。</w:t>
      </w:r>
      <w:r>
        <w:rPr>
          <w:rFonts w:hint="eastAsia" w:ascii="华文仿宋" w:hAnsi="华文仿宋" w:eastAsia="华文仿宋"/>
          <w:bCs/>
          <w:sz w:val="24"/>
          <w:szCs w:val="24"/>
        </w:rPr>
        <w:t>资管子公司的成立，不仅需要银行从业务视角的进行相应的规划筹备，也要从管理的视角执行配套的绩效考核与激励机制，需要业务系统与管理系统的充分链接与耦合。</w:t>
      </w:r>
    </w:p>
    <w:p>
      <w:pPr>
        <w:pStyle w:val="2"/>
        <w:rPr>
          <w:rFonts w:ascii="华文仿宋" w:hAnsi="华文仿宋" w:eastAsia="华文仿宋"/>
        </w:rPr>
      </w:pPr>
      <w:bookmarkStart w:id="9" w:name="_Toc23837"/>
      <w:r>
        <w:rPr>
          <w:rFonts w:hint="eastAsia" w:ascii="华文仿宋" w:hAnsi="华文仿宋" w:eastAsia="华文仿宋"/>
        </w:rPr>
        <w:t>二、商业银行资管</w:t>
      </w:r>
      <w:bookmarkStart w:id="28" w:name="_GoBack"/>
      <w:bookmarkEnd w:id="28"/>
      <w:r>
        <w:rPr>
          <w:rFonts w:hint="eastAsia" w:ascii="华文仿宋" w:hAnsi="华文仿宋" w:eastAsia="华文仿宋"/>
        </w:rPr>
        <w:t>业务转型系统解决方案</w:t>
      </w:r>
      <w:bookmarkEnd w:id="9"/>
    </w:p>
    <w:p>
      <w:pPr>
        <w:pStyle w:val="3"/>
        <w:rPr>
          <w:rFonts w:ascii="华文仿宋" w:hAnsi="华文仿宋" w:eastAsia="华文仿宋"/>
        </w:rPr>
      </w:pPr>
      <w:bookmarkStart w:id="10" w:name="_Toc9096"/>
      <w:r>
        <w:rPr>
          <w:rFonts w:ascii="华文仿宋" w:hAnsi="华文仿宋" w:eastAsia="华文仿宋"/>
        </w:rPr>
        <w:t>2.1</w:t>
      </w:r>
      <w:r>
        <w:rPr>
          <w:rFonts w:hint="eastAsia" w:ascii="华文仿宋" w:hAnsi="华文仿宋" w:eastAsia="华文仿宋"/>
        </w:rPr>
        <w:t>小利润大市场——长尾客户财富管理可期</w:t>
      </w:r>
      <w:bookmarkEnd w:id="10"/>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深度整合金融科技，将客户信息及需求数据化并通过标准流程进行系统服务，是服务长尾客户唯一的可行路径。改变传统由理财经理一对一手工管理服务客户的方式，通过搭建以客户全方位信息为基础的数据库，将各不相同的客户通过标准化的处理，得到标准化的数据信息，构建客户分析、客户管理、客户服务的大数据基础，助力于盘活僵尸客户。在标准化的系统平台上，每一个客户将是各类信息拼接组合起来的映射。对长尾客户市场的“开垦”与“挖掘”，对财富管理端的彻底改造，</w:t>
      </w:r>
      <w:r>
        <w:rPr>
          <w:rFonts w:ascii="华文仿宋" w:hAnsi="华文仿宋" w:eastAsia="华文仿宋"/>
          <w:sz w:val="24"/>
          <w:szCs w:val="24"/>
        </w:rPr>
        <w:t>将</w:t>
      </w:r>
      <w:r>
        <w:rPr>
          <w:rFonts w:hint="eastAsia" w:ascii="华文仿宋" w:hAnsi="华文仿宋" w:eastAsia="华文仿宋"/>
          <w:sz w:val="24"/>
          <w:szCs w:val="24"/>
        </w:rPr>
        <w:t xml:space="preserve">颠覆传统营销中以人际资源为王的营销模式，亦将颠覆银行对单个理财经理的考核方式，高效的客户分析与客户响应，及时全面的客户服务，是在长尾客户市场致胜的必由之路。 </w:t>
      </w:r>
    </w:p>
    <w:p>
      <w:pPr>
        <w:pStyle w:val="4"/>
        <w:rPr>
          <w:rFonts w:ascii="华文仿宋" w:hAnsi="华文仿宋" w:eastAsia="华文仿宋"/>
        </w:rPr>
      </w:pPr>
      <w:bookmarkStart w:id="11" w:name="_Toc22945"/>
      <w:r>
        <w:rPr>
          <w:rFonts w:hint="eastAsia" w:ascii="华文仿宋" w:hAnsi="华文仿宋" w:eastAsia="华文仿宋"/>
        </w:rPr>
        <w:t>（1）系统功能规划</w:t>
      </w:r>
      <w:bookmarkEnd w:id="11"/>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1、数据为王，洞察需求。</w:t>
      </w:r>
      <w:r>
        <w:rPr>
          <w:rFonts w:hint="eastAsia" w:ascii="华文仿宋" w:hAnsi="华文仿宋" w:eastAsia="华文仿宋"/>
          <w:sz w:val="24"/>
          <w:szCs w:val="24"/>
        </w:rPr>
        <w:t>结合银行资管业务的标准化程度与数据化程度，通过静态信息标准化的数据获取与存储，辅之以金融逻辑下的数据清洗，可实现快速识别与洞察客户需求，而对客户服务的动态信息的记录、积累与分析，实现对客户的生命周期管理，不仅做到千人千面，更做到多维立体。</w:t>
      </w: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bookmarkStart w:id="12" w:name="OLE_LINK13"/>
            <w:bookmarkStart w:id="13" w:name="OLE_LINK12"/>
            <w:bookmarkStart w:id="14" w:name="OLE_LINK14"/>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2</w:t>
            </w:r>
            <w:r>
              <w:rPr>
                <w:rFonts w:hint="eastAsia" w:ascii="华文仿宋" w:hAnsi="华文仿宋" w:eastAsia="华文仿宋"/>
                <w:b/>
                <w:bCs/>
                <w:color w:val="FFFFFF" w:themeColor="background1"/>
                <w:szCs w:val="21"/>
                <w14:textFill>
                  <w14:solidFill>
                    <w14:schemeClr w14:val="bg1"/>
                  </w14:solidFill>
                </w14:textFill>
              </w:rPr>
              <w:t>：客户分析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073015" cy="3091815"/>
                  <wp:effectExtent l="0" t="0" r="13335" b="1333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10"/>
                          <a:srcRect r="7028" b="2310"/>
                          <a:stretch>
                            <a:fillRect/>
                          </a:stretch>
                        </pic:blipFill>
                        <pic:spPr>
                          <a:xfrm>
                            <a:off x="0" y="0"/>
                            <a:ext cx="5073015" cy="3091815"/>
                          </a:xfrm>
                          <a:prstGeom prst="rect">
                            <a:avLst/>
                          </a:prstGeom>
                          <a:noFill/>
                          <a:ln w="9525">
                            <a:noFill/>
                          </a:ln>
                        </pic:spPr>
                      </pic:pic>
                    </a:graphicData>
                  </a:graphic>
                </wp:inline>
              </w:drawing>
            </w:r>
          </w:p>
        </w:tc>
      </w:tr>
      <w:bookmarkEnd w:id="12"/>
      <w:bookmarkEnd w:id="13"/>
      <w:bookmarkEnd w:id="14"/>
    </w:tbl>
    <w:p>
      <w:pPr>
        <w:spacing w:line="360" w:lineRule="auto"/>
        <w:ind w:firstLine="480" w:firstLineChars="200"/>
        <w:rPr>
          <w:rFonts w:ascii="华文仿宋" w:hAnsi="华文仿宋" w:eastAsia="华文仿宋"/>
          <w:b/>
          <w:sz w:val="24"/>
          <w:szCs w:val="24"/>
        </w:rPr>
      </w:pP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2、策略模型，快速响应。</w:t>
      </w:r>
      <w:r>
        <w:rPr>
          <w:rFonts w:hint="eastAsia" w:ascii="华文仿宋" w:hAnsi="华文仿宋" w:eastAsia="华文仿宋"/>
          <w:sz w:val="24"/>
          <w:szCs w:val="24"/>
        </w:rPr>
        <w:t>客户的需求需要策略模型的响应，程序化自动的响应，使得长尾客户服务形成规模效应。传统以理财经理线下服务客户的方式成本过高，所需投入资源太多，不适用于服务长尾客户，而通过策略模型响应客户需求的方式将成为服务客户的主流方式。即使是面对高净值客户，也可以通过模型策略为主，人工服务为辅的方式，提升服务专业性以及服务效率。</w:t>
      </w: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tbl>
      <w:tblPr>
        <w:tblStyle w:val="18"/>
        <w:tblW w:w="46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44"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3</w:t>
            </w:r>
            <w:r>
              <w:rPr>
                <w:rFonts w:hint="eastAsia" w:ascii="华文仿宋" w:hAnsi="华文仿宋" w:eastAsia="华文仿宋"/>
                <w:b/>
                <w:bCs/>
                <w:color w:val="FFFFFF" w:themeColor="background1"/>
                <w:szCs w:val="21"/>
                <w14:textFill>
                  <w14:solidFill>
                    <w14:schemeClr w14:val="bg1"/>
                  </w14:solidFill>
                </w14:textFill>
              </w:rPr>
              <w:t>：大类资产配置模型与基金筛选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44"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2794635" cy="2268855"/>
                  <wp:effectExtent l="0" t="0" r="5715" b="17145"/>
                  <wp:docPr id="10"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6"/>
                          <pic:cNvPicPr>
                            <a:picLocks noChangeAspect="1"/>
                          </pic:cNvPicPr>
                        </pic:nvPicPr>
                        <pic:blipFill>
                          <a:blip r:embed="rId11"/>
                          <a:srcRect l="6503" t="4506" r="12892" b="1603"/>
                          <a:stretch>
                            <a:fillRect/>
                          </a:stretch>
                        </pic:blipFill>
                        <pic:spPr>
                          <a:xfrm>
                            <a:off x="0" y="0"/>
                            <a:ext cx="2794635" cy="2268855"/>
                          </a:xfrm>
                          <a:prstGeom prst="rect">
                            <a:avLst/>
                          </a:prstGeom>
                          <a:noFill/>
                          <a:ln w="9525">
                            <a:noFill/>
                          </a:ln>
                        </pic:spPr>
                      </pic:pic>
                    </a:graphicData>
                  </a:graphic>
                </wp:inline>
              </w:drawing>
            </w:r>
          </w:p>
        </w:tc>
      </w:tr>
    </w:tbl>
    <w:tbl>
      <w:tblPr>
        <w:tblStyle w:val="18"/>
        <w:tblpPr w:leftFromText="180" w:rightFromText="180" w:vertAnchor="text" w:horzAnchor="margin" w:tblpXSpec="right" w:tblpY="-4209"/>
        <w:tblW w:w="3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300" w:type="dxa"/>
            <w:shd w:val="clear" w:color="auto" w:fill="548DD4" w:themeFill="text2" w:themeFillTint="99"/>
          </w:tcPr>
          <w:p>
            <w:pPr>
              <w:spacing w:line="360" w:lineRule="auto"/>
              <w:rPr>
                <w:rFonts w:ascii="华文楷体" w:hAnsi="华文楷体" w:eastAsia="华文楷体"/>
                <w:b/>
                <w:sz w:val="28"/>
                <w:szCs w:val="28"/>
              </w:rPr>
            </w:pPr>
            <w:r>
              <w:rPr>
                <w:rFonts w:hint="eastAsia" w:ascii="华文仿宋" w:hAnsi="华文仿宋" w:eastAsia="华文仿宋"/>
                <w:b/>
                <w:bCs/>
                <w:color w:val="FFFFFF" w:themeColor="background1"/>
                <w:szCs w:val="21"/>
                <w14:textFill>
                  <w14:solidFill>
                    <w14:schemeClr w14:val="bg1"/>
                  </w14:solidFill>
                </w14:textFill>
              </w:rPr>
              <w:t>公募基金筛选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1" w:hRule="atLeast"/>
        </w:trPr>
        <w:tc>
          <w:tcPr>
            <w:tcW w:w="3300" w:type="dxa"/>
          </w:tcPr>
          <w:p>
            <w:pPr>
              <w:rPr>
                <w:rFonts w:ascii="华文仿宋" w:hAnsi="华文仿宋" w:eastAsia="华文仿宋"/>
                <w:b/>
                <w:color w:val="FFFFFF" w:themeColor="background1"/>
                <w:sz w:val="28"/>
                <w:szCs w:val="28"/>
                <w14:textFill>
                  <w14:solidFill>
                    <w14:schemeClr w14:val="bg1"/>
                  </w14:solidFill>
                </w14:textFill>
              </w:rPr>
            </w:pPr>
            <w:r>
              <w:rPr>
                <w:rFonts w:ascii="华文仿宋" w:hAnsi="华文仿宋" w:eastAsia="华文仿宋"/>
                <w:b/>
                <w:color w:val="FFFFFF" w:themeColor="background1"/>
                <w:sz w:val="28"/>
                <w:szCs w:val="28"/>
                <w14:textFill>
                  <w14:solidFill>
                    <w14:schemeClr w14:val="bg1"/>
                  </w14:solidFill>
                </w14:textFill>
              </w:rPr>
              <mc:AlternateContent>
                <mc:Choice Requires="wps">
                  <w:drawing>
                    <wp:anchor distT="0" distB="0" distL="114300" distR="114300" simplePos="0" relativeHeight="251659264" behindDoc="0" locked="0" layoutInCell="1" allowOverlap="1">
                      <wp:simplePos x="0" y="0"/>
                      <wp:positionH relativeFrom="column">
                        <wp:posOffset>1087120</wp:posOffset>
                      </wp:positionH>
                      <wp:positionV relativeFrom="paragraph">
                        <wp:posOffset>21590</wp:posOffset>
                      </wp:positionV>
                      <wp:extent cx="941070" cy="358775"/>
                      <wp:effectExtent l="0" t="0" r="11430" b="3175"/>
                      <wp:wrapNone/>
                      <wp:docPr id="5" name="矩形 49"/>
                      <wp:cNvGraphicFramePr/>
                      <a:graphic xmlns:a="http://schemas.openxmlformats.org/drawingml/2006/main">
                        <a:graphicData uri="http://schemas.microsoft.com/office/word/2010/wordprocessingShape">
                          <wps:wsp>
                            <wps:cNvSpPr/>
                            <wps:spPr>
                              <a:xfrm>
                                <a:off x="0" y="0"/>
                                <a:ext cx="941070" cy="358775"/>
                              </a:xfrm>
                              <a:prstGeom prst="rect">
                                <a:avLst/>
                              </a:prstGeom>
                              <a:solidFill>
                                <a:schemeClr val="accent1">
                                  <a:lumMod val="60000"/>
                                  <a:lumOff val="40000"/>
                                </a:schemeClr>
                              </a:solidFill>
                              <a:ln w="9525">
                                <a:noFill/>
                              </a:ln>
                            </wps:spPr>
                            <wps:txb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系统性指标</w:t>
                                  </w:r>
                                </w:p>
                              </w:txbxContent>
                            </wps:txbx>
                            <wps:bodyPr upright="1"/>
                          </wps:wsp>
                        </a:graphicData>
                      </a:graphic>
                    </wp:anchor>
                  </w:drawing>
                </mc:Choice>
                <mc:Fallback>
                  <w:pict>
                    <v:rect id="矩形 49" o:spid="_x0000_s1026" o:spt="1" style="position:absolute;left:0pt;margin-left:85.6pt;margin-top:1.7pt;height:28.25pt;width:74.1pt;z-index:251659264;mso-width-relative:page;mso-height-relative:page;" fillcolor="#95B3D7 [1940]" filled="t" stroked="f" coordsize="21600,21600" o:gfxdata="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f/FNNgAAAAIAQAADwAAAAAAAAABACAAAAAiAAAAZHJzL2Rvd25yZXYueG1s&#10;UEsBAhQAFAAAAAgAh07iQFQ56jS/AQAAXgMAAA4AAAAAAAAAAQAgAAAAJwEAAGRycy9lMm9Eb2Mu&#10;eG1sUEsFBgAAAAAGAAYAWQEAAFgFAAAAAA==&#10;">
                      <v:fill on="t" focussize="0,0"/>
                      <v:stroke on="f"/>
                      <v:imagedata o:title=""/>
                      <o:lock v:ext="edit" aspectratio="f"/>
                      <v:textbo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系统性指标</w:t>
                            </w:r>
                          </w:p>
                        </w:txbxContent>
                      </v:textbox>
                    </v:rect>
                  </w:pict>
                </mc:Fallback>
              </mc:AlternateContent>
            </w:r>
            <w:r>
              <w:rPr>
                <w:rFonts w:ascii="华文仿宋" w:hAnsi="华文仿宋" w:eastAsia="华文仿宋"/>
                <w:b/>
                <w:color w:val="FFFFFF" w:themeColor="background1"/>
                <w:sz w:val="28"/>
                <w:szCs w:val="28"/>
                <w14:textFill>
                  <w14:solidFill>
                    <w14:schemeClr w14:val="bg1"/>
                  </w14:solidFill>
                </w14:textFill>
              </w:rPr>
              <mc:AlternateContent>
                <mc:Choice Requires="wps">
                  <w:drawing>
                    <wp:anchor distT="0" distB="0" distL="114300" distR="114300" simplePos="0" relativeHeight="251662336" behindDoc="0" locked="0" layoutInCell="1" allowOverlap="1">
                      <wp:simplePos x="0" y="0"/>
                      <wp:positionH relativeFrom="column">
                        <wp:posOffset>1087120</wp:posOffset>
                      </wp:positionH>
                      <wp:positionV relativeFrom="paragraph">
                        <wp:posOffset>403860</wp:posOffset>
                      </wp:positionV>
                      <wp:extent cx="941070" cy="358775"/>
                      <wp:effectExtent l="0" t="0" r="11430" b="3175"/>
                      <wp:wrapNone/>
                      <wp:docPr id="13" name="矩形 52"/>
                      <wp:cNvGraphicFramePr/>
                      <a:graphic xmlns:a="http://schemas.openxmlformats.org/drawingml/2006/main">
                        <a:graphicData uri="http://schemas.microsoft.com/office/word/2010/wordprocessingShape">
                          <wps:wsp>
                            <wps:cNvSpPr/>
                            <wps:spPr>
                              <a:xfrm>
                                <a:off x="0" y="0"/>
                                <a:ext cx="941070" cy="358775"/>
                              </a:xfrm>
                              <a:prstGeom prst="rect">
                                <a:avLst/>
                              </a:prstGeom>
                              <a:solidFill>
                                <a:schemeClr val="accent1">
                                  <a:lumMod val="60000"/>
                                  <a:lumOff val="40000"/>
                                </a:schemeClr>
                              </a:solidFill>
                              <a:ln w="9525">
                                <a:noFill/>
                              </a:ln>
                            </wps:spPr>
                            <wps:txb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流动性指标</w:t>
                                  </w:r>
                                </w:p>
                              </w:txbxContent>
                            </wps:txbx>
                            <wps:bodyPr upright="1"/>
                          </wps:wsp>
                        </a:graphicData>
                      </a:graphic>
                    </wp:anchor>
                  </w:drawing>
                </mc:Choice>
                <mc:Fallback>
                  <w:pict>
                    <v:rect id="矩形 52" o:spid="_x0000_s1026" o:spt="1" style="position:absolute;left:0pt;margin-left:85.6pt;margin-top:31.8pt;height:28.25pt;width:74.1pt;z-index:251662336;mso-width-relative:page;mso-height-relative:page;" fillcolor="#95B3D7 [1940]" filled="t" stroked="f" coordsize="21600,21600" o:gfxdata="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bgdvTYAAAACgEAAA8AAAAAAAAAAQAgAAAAIgAAAGRycy9kb3ducmV2Lnht&#10;bFBLAQIUABQAAAAIAIdO4kBgD0AfwAEAAF8DAAAOAAAAAAAAAAEAIAAAACcBAABkcnMvZTJvRG9j&#10;LnhtbFBLBQYAAAAABgAGAFkBAABZBQAAAAA=&#10;">
                      <v:fill on="t" focussize="0,0"/>
                      <v:stroke on="f"/>
                      <v:imagedata o:title=""/>
                      <o:lock v:ext="edit" aspectratio="f"/>
                      <v:textbo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流动性指标</w:t>
                            </w:r>
                          </w:p>
                        </w:txbxContent>
                      </v:textbox>
                    </v:rect>
                  </w:pict>
                </mc:Fallback>
              </mc:AlternateContent>
            </w:r>
            <w:r>
              <w:rPr>
                <w:rFonts w:ascii="华文仿宋" w:hAnsi="华文仿宋" w:eastAsia="华文仿宋"/>
                <w:b/>
                <w:color w:val="FFFFFF" w:themeColor="background1"/>
                <w:sz w:val="28"/>
                <w:szCs w:val="28"/>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426720</wp:posOffset>
                      </wp:positionV>
                      <wp:extent cx="941070" cy="358775"/>
                      <wp:effectExtent l="0" t="0" r="11430" b="3175"/>
                      <wp:wrapNone/>
                      <wp:docPr id="9" name="矩形 51"/>
                      <wp:cNvGraphicFramePr/>
                      <a:graphic xmlns:a="http://schemas.openxmlformats.org/drawingml/2006/main">
                        <a:graphicData uri="http://schemas.microsoft.com/office/word/2010/wordprocessingShape">
                          <wps:wsp>
                            <wps:cNvSpPr/>
                            <wps:spPr>
                              <a:xfrm>
                                <a:off x="0" y="0"/>
                                <a:ext cx="941070" cy="358775"/>
                              </a:xfrm>
                              <a:prstGeom prst="rect">
                                <a:avLst/>
                              </a:prstGeom>
                              <a:solidFill>
                                <a:schemeClr val="accent1">
                                  <a:lumMod val="60000"/>
                                  <a:lumOff val="40000"/>
                                </a:schemeClr>
                              </a:solidFill>
                              <a:ln w="9525">
                                <a:noFill/>
                              </a:ln>
                            </wps:spPr>
                            <wps:txb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个体风险指标</w:t>
                                  </w:r>
                                </w:p>
                              </w:txbxContent>
                            </wps:txbx>
                            <wps:bodyPr upright="1"/>
                          </wps:wsp>
                        </a:graphicData>
                      </a:graphic>
                    </wp:anchor>
                  </w:drawing>
                </mc:Choice>
                <mc:Fallback>
                  <w:pict>
                    <v:rect id="矩形 51" o:spid="_x0000_s1026" o:spt="1" style="position:absolute;left:0pt;margin-left:-5.4pt;margin-top:33.6pt;height:28.25pt;width:74.1pt;z-index:251661312;mso-width-relative:page;mso-height-relative:page;" fillcolor="#95B3D7 [1940]" filled="t" stroked="f" coordsize="21600,21600" o:gfxdata="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O8g1fZAAAACgEAAA8AAAAAAAAAAQAgAAAAIgAAAGRycy9kb3ducmV2Lnht&#10;bFBLAQIUABQAAAAIAIdO4kANVs43vwEAAF4DAAAOAAAAAAAAAAEAIAAAACgBAABkcnMvZTJvRG9j&#10;LnhtbFBLBQYAAAAABgAGAFkBAABZBQAAAAA=&#10;">
                      <v:fill on="t" focussize="0,0"/>
                      <v:stroke on="f"/>
                      <v:imagedata o:title=""/>
                      <o:lock v:ext="edit" aspectratio="f"/>
                      <v:textbo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个体风险指标</w:t>
                            </w:r>
                          </w:p>
                        </w:txbxContent>
                      </v:textbox>
                    </v:rect>
                  </w:pict>
                </mc:Fallback>
              </mc:AlternateContent>
            </w:r>
            <w:r>
              <w:rPr>
                <w:rFonts w:ascii="华文仿宋" w:hAnsi="华文仿宋" w:eastAsia="华文仿宋"/>
                <w:color w:val="FFFFFF" w:themeColor="background1"/>
                <w:sz w:val="28"/>
                <w:szCs w:val="28"/>
                <w14:textFill>
                  <w14:solidFill>
                    <w14:schemeClr w14:val="bg1"/>
                  </w14:solidFill>
                </w14:textFil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44450</wp:posOffset>
                      </wp:positionV>
                      <wp:extent cx="941070" cy="358775"/>
                      <wp:effectExtent l="0" t="0" r="11430" b="3175"/>
                      <wp:wrapNone/>
                      <wp:docPr id="7" name="矩形 50"/>
                      <wp:cNvGraphicFramePr/>
                      <a:graphic xmlns:a="http://schemas.openxmlformats.org/drawingml/2006/main">
                        <a:graphicData uri="http://schemas.microsoft.com/office/word/2010/wordprocessingShape">
                          <wps:wsp>
                            <wps:cNvSpPr/>
                            <wps:spPr>
                              <a:xfrm>
                                <a:off x="0" y="0"/>
                                <a:ext cx="941070" cy="358775"/>
                              </a:xfrm>
                              <a:prstGeom prst="rect">
                                <a:avLst/>
                              </a:prstGeom>
                              <a:solidFill>
                                <a:schemeClr val="accent1">
                                  <a:lumMod val="60000"/>
                                  <a:lumOff val="40000"/>
                                </a:schemeClr>
                              </a:solidFill>
                              <a:ln w="9525">
                                <a:noFill/>
                              </a:ln>
                            </wps:spPr>
                            <wps:txb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收益指标</w:t>
                                  </w:r>
                                </w:p>
                              </w:txbxContent>
                            </wps:txbx>
                            <wps:bodyPr upright="1"/>
                          </wps:wsp>
                        </a:graphicData>
                      </a:graphic>
                    </wp:anchor>
                  </w:drawing>
                </mc:Choice>
                <mc:Fallback>
                  <w:pict>
                    <v:rect id="矩形 50" o:spid="_x0000_s1026" o:spt="1" style="position:absolute;left:0pt;margin-left:-5.4pt;margin-top:3.5pt;height:28.25pt;width:74.1pt;z-index:251660288;mso-width-relative:page;mso-height-relative:page;" fillcolor="#95B3D7 [1940]" filled="t" stroked="f" coordsize="21600,21600" o:gfxdata="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3Ohr1wAAAAgBAAAPAAAAAAAAAAEAIAAAACIAAABkcnMvZG93bnJldi54bWxQ&#10;SwECFAAUAAAACACHTuJAw53Dgr8BAABeAwAADgAAAAAAAAABACAAAAAmAQAAZHJzL2Uyb0RvYy54&#10;bWxQSwUGAAAAAAYABgBZAQAAVwUAAAAA&#10;">
                      <v:fill on="t" focussize="0,0"/>
                      <v:stroke on="f"/>
                      <v:imagedata o:title=""/>
                      <o:lock v:ext="edit" aspectratio="f"/>
                      <v:textbox>
                        <w:txbxContent>
                          <w:p>
                            <w:pPr>
                              <w:rPr>
                                <w:rFonts w:ascii="华文楷体" w:hAnsi="华文楷体" w:eastAsia="华文楷体"/>
                                <w:color w:val="FFFFFF" w:themeColor="background1"/>
                                <w:sz w:val="18"/>
                                <w:szCs w:val="18"/>
                                <w14:textFill>
                                  <w14:solidFill>
                                    <w14:schemeClr w14:val="bg1"/>
                                  </w14:solidFill>
                                </w14:textFill>
                              </w:rPr>
                            </w:pPr>
                            <w:r>
                              <w:rPr>
                                <w:rFonts w:hint="eastAsia" w:ascii="华文楷体" w:hAnsi="华文楷体" w:eastAsia="华文楷体"/>
                                <w:color w:val="FFFFFF" w:themeColor="background1"/>
                                <w:sz w:val="18"/>
                                <w:szCs w:val="18"/>
                                <w14:textFill>
                                  <w14:solidFill>
                                    <w14:schemeClr w14:val="bg1"/>
                                  </w14:solidFill>
                                </w14:textFill>
                              </w:rPr>
                              <w:t>收益指标</w:t>
                            </w:r>
                          </w:p>
                        </w:txbxContent>
                      </v:textbox>
                    </v:rect>
                  </w:pict>
                </mc:Fallback>
              </mc:AlternateContent>
            </w:r>
          </w:p>
          <w:p>
            <w:pPr>
              <w:rPr>
                <w:rFonts w:ascii="华文仿宋" w:hAnsi="华文仿宋" w:eastAsia="华文仿宋"/>
                <w:b/>
                <w:sz w:val="28"/>
                <w:szCs w:val="28"/>
              </w:rPr>
            </w:pPr>
            <w:r>
              <w:rPr>
                <w:rFonts w:ascii="华文仿宋" w:hAnsi="华文仿宋" w:eastAsia="华文仿宋"/>
                <w:b/>
                <w:sz w:val="28"/>
                <w:szCs w:val="28"/>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398780</wp:posOffset>
                      </wp:positionV>
                      <wp:extent cx="2085340" cy="358775"/>
                      <wp:effectExtent l="0" t="0" r="10160" b="3175"/>
                      <wp:wrapNone/>
                      <wp:docPr id="16" name="矩形 53"/>
                      <wp:cNvGraphicFramePr/>
                      <a:graphic xmlns:a="http://schemas.openxmlformats.org/drawingml/2006/main">
                        <a:graphicData uri="http://schemas.microsoft.com/office/word/2010/wordprocessingShape">
                          <wps:wsp>
                            <wps:cNvSpPr/>
                            <wps:spPr>
                              <a:xfrm>
                                <a:off x="0" y="0"/>
                                <a:ext cx="2085340" cy="358775"/>
                              </a:xfrm>
                              <a:prstGeom prst="rect">
                                <a:avLst/>
                              </a:prstGeom>
                              <a:solidFill>
                                <a:schemeClr val="accent3">
                                  <a:lumMod val="40000"/>
                                  <a:lumOff val="60000"/>
                                </a:schemeClr>
                              </a:solidFill>
                              <a:ln w="9525">
                                <a:noFill/>
                              </a:ln>
                            </wps:spPr>
                            <wps:txbx>
                              <w:txbxContent>
                                <w:p>
                                  <w:pPr>
                                    <w:rPr>
                                      <w:rFonts w:ascii="华文楷体" w:hAnsi="华文楷体" w:eastAsia="华文楷体"/>
                                      <w:sz w:val="18"/>
                                      <w:szCs w:val="18"/>
                                    </w:rPr>
                                  </w:pPr>
                                  <w:r>
                                    <w:rPr>
                                      <w:rFonts w:hint="eastAsia" w:ascii="华文楷体" w:hAnsi="华文楷体" w:eastAsia="华文楷体"/>
                                      <w:sz w:val="18"/>
                                      <w:szCs w:val="18"/>
                                    </w:rPr>
                                    <w:t>平均相关性指标</w:t>
                                  </w:r>
                                </w:p>
                              </w:txbxContent>
                            </wps:txbx>
                            <wps:bodyPr upright="1"/>
                          </wps:wsp>
                        </a:graphicData>
                      </a:graphic>
                    </wp:anchor>
                  </w:drawing>
                </mc:Choice>
                <mc:Fallback>
                  <w:pict>
                    <v:rect id="矩形 53" o:spid="_x0000_s1026" o:spt="1" style="position:absolute;left:0pt;margin-left:-4.5pt;margin-top:31.4pt;height:28.25pt;width:164.2pt;z-index:251663360;mso-width-relative:page;mso-height-relative:page;" fillcolor="#D7E4BD [1302]" filled="t" stroked="f" coordsize="21600,21600" o:gfxdata="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IJBfNcAAAAJAQAADwAAAAAAAAABACAAAAAiAAAAZHJzL2Rvd25yZXYu&#10;eG1sUEsBAhQAFAAAAAgAh07iQHJRb97DAQAAYAMAAA4AAAAAAAAAAQAgAAAAJgEAAGRycy9lMm9E&#10;b2MueG1sUEsFBgAAAAAGAAYAWQEAAFsFAAAAAA==&#10;">
                      <v:fill on="t" focussize="0,0"/>
                      <v:stroke on="f"/>
                      <v:imagedata o:title=""/>
                      <o:lock v:ext="edit" aspectratio="f"/>
                      <v:textbox>
                        <w:txbxContent>
                          <w:p>
                            <w:pPr>
                              <w:rPr>
                                <w:rFonts w:ascii="华文楷体" w:hAnsi="华文楷体" w:eastAsia="华文楷体"/>
                                <w:sz w:val="18"/>
                                <w:szCs w:val="18"/>
                              </w:rPr>
                            </w:pPr>
                            <w:r>
                              <w:rPr>
                                <w:rFonts w:hint="eastAsia" w:ascii="华文楷体" w:hAnsi="华文楷体" w:eastAsia="华文楷体"/>
                                <w:sz w:val="18"/>
                                <w:szCs w:val="18"/>
                              </w:rPr>
                              <w:t>平均相关性指标</w:t>
                            </w:r>
                          </w:p>
                        </w:txbxContent>
                      </v:textbox>
                    </v:rect>
                  </w:pict>
                </mc:Fallback>
              </mc:AlternateContent>
            </w:r>
            <w:r>
              <w:rPr>
                <w:rFonts w:ascii="华文仿宋" w:hAnsi="华文仿宋" w:eastAsia="华文仿宋"/>
                <w:b/>
                <w:sz w:val="28"/>
                <w:szCs w:val="28"/>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395605</wp:posOffset>
                      </wp:positionV>
                      <wp:extent cx="2085340" cy="358775"/>
                      <wp:effectExtent l="0" t="0" r="10160" b="3175"/>
                      <wp:wrapNone/>
                      <wp:docPr id="18" name="矩形 54"/>
                      <wp:cNvGraphicFramePr/>
                      <a:graphic xmlns:a="http://schemas.openxmlformats.org/drawingml/2006/main">
                        <a:graphicData uri="http://schemas.microsoft.com/office/word/2010/wordprocessingShape">
                          <wps:wsp>
                            <wps:cNvSpPr/>
                            <wps:spPr>
                              <a:xfrm>
                                <a:off x="0" y="0"/>
                                <a:ext cx="2085340" cy="358775"/>
                              </a:xfrm>
                              <a:prstGeom prst="rect">
                                <a:avLst/>
                              </a:prstGeom>
                              <a:solidFill>
                                <a:schemeClr val="accent3">
                                  <a:lumMod val="40000"/>
                                  <a:lumOff val="60000"/>
                                </a:schemeClr>
                              </a:solidFill>
                              <a:ln w="9525">
                                <a:noFill/>
                              </a:ln>
                            </wps:spPr>
                            <wps:txbx>
                              <w:txbxContent>
                                <w:p>
                                  <w:pPr>
                                    <w:rPr>
                                      <w:rFonts w:ascii="华文楷体" w:hAnsi="华文楷体" w:eastAsia="华文楷体"/>
                                      <w:sz w:val="18"/>
                                      <w:szCs w:val="18"/>
                                    </w:rPr>
                                  </w:pPr>
                                  <w:r>
                                    <w:rPr>
                                      <w:rFonts w:hint="eastAsia" w:ascii="华文楷体" w:hAnsi="华文楷体" w:eastAsia="华文楷体"/>
                                      <w:sz w:val="18"/>
                                      <w:szCs w:val="18"/>
                                    </w:rPr>
                                    <w:t>业绩持续性指标</w:t>
                                  </w:r>
                                </w:p>
                              </w:txbxContent>
                            </wps:txbx>
                            <wps:bodyPr upright="1"/>
                          </wps:wsp>
                        </a:graphicData>
                      </a:graphic>
                    </wp:anchor>
                  </w:drawing>
                </mc:Choice>
                <mc:Fallback>
                  <w:pict>
                    <v:rect id="矩形 54" o:spid="_x0000_s1026" o:spt="1" style="position:absolute;left:0pt;margin-left:-4.5pt;margin-top:31.15pt;height:28.25pt;width:164.2pt;z-index:251664384;mso-width-relative:page;mso-height-relative:page;" fillcolor="#D7E4BD [1302]" filled="t" stroked="f" coordsize="21600,21600" o:gfxdata="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sBY11wAAAAkBAAAPAAAAAAAAAAEAIAAAACIAAABkcnMvZG93bnJldi54&#10;bWxQSwECFAAUAAAACACHTuJANg1V+MIBAABgAwAADgAAAAAAAAABACAAAAAmAQAAZHJzL2Uyb0Rv&#10;Yy54bWxQSwUGAAAAAAYABgBZAQAAWgUAAAAA&#10;">
                      <v:fill on="t" focussize="0,0"/>
                      <v:stroke on="f"/>
                      <v:imagedata o:title=""/>
                      <o:lock v:ext="edit" aspectratio="f"/>
                      <v:textbox>
                        <w:txbxContent>
                          <w:p>
                            <w:pPr>
                              <w:rPr>
                                <w:rFonts w:ascii="华文楷体" w:hAnsi="华文楷体" w:eastAsia="华文楷体"/>
                                <w:sz w:val="18"/>
                                <w:szCs w:val="18"/>
                              </w:rPr>
                            </w:pPr>
                            <w:r>
                              <w:rPr>
                                <w:rFonts w:hint="eastAsia" w:ascii="华文楷体" w:hAnsi="华文楷体" w:eastAsia="华文楷体"/>
                                <w:sz w:val="18"/>
                                <w:szCs w:val="18"/>
                              </w:rPr>
                              <w:t>业绩持续性指标</w:t>
                            </w:r>
                          </w:p>
                        </w:txbxContent>
                      </v:textbox>
                    </v:rect>
                  </w:pict>
                </mc:Fallback>
              </mc:AlternateContent>
            </w:r>
            <w:r>
              <w:rPr>
                <w:rFonts w:ascii="华文仿宋" w:hAnsi="华文仿宋" w:eastAsia="华文仿宋"/>
                <w:b/>
                <w:sz w:val="28"/>
                <w:szCs w:val="28"/>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389890</wp:posOffset>
                      </wp:positionV>
                      <wp:extent cx="2085340" cy="358775"/>
                      <wp:effectExtent l="0" t="0" r="10160" b="3175"/>
                      <wp:wrapNone/>
                      <wp:docPr id="20" name="矩形 55"/>
                      <wp:cNvGraphicFramePr/>
                      <a:graphic xmlns:a="http://schemas.openxmlformats.org/drawingml/2006/main">
                        <a:graphicData uri="http://schemas.microsoft.com/office/word/2010/wordprocessingShape">
                          <wps:wsp>
                            <wps:cNvSpPr/>
                            <wps:spPr>
                              <a:xfrm>
                                <a:off x="0" y="0"/>
                                <a:ext cx="2085340" cy="358775"/>
                              </a:xfrm>
                              <a:prstGeom prst="rect">
                                <a:avLst/>
                              </a:prstGeom>
                              <a:solidFill>
                                <a:schemeClr val="accent3">
                                  <a:lumMod val="40000"/>
                                  <a:lumOff val="60000"/>
                                </a:schemeClr>
                              </a:solidFill>
                              <a:ln w="9525">
                                <a:noFill/>
                              </a:ln>
                            </wps:spPr>
                            <wps:txbx>
                              <w:txbxContent>
                                <w:p>
                                  <w:pPr>
                                    <w:rPr>
                                      <w:rFonts w:ascii="华文楷体" w:hAnsi="华文楷体" w:eastAsia="华文楷体"/>
                                      <w:sz w:val="18"/>
                                      <w:szCs w:val="18"/>
                                    </w:rPr>
                                  </w:pPr>
                                  <w:r>
                                    <w:rPr>
                                      <w:rFonts w:hint="eastAsia" w:ascii="华文楷体" w:hAnsi="华文楷体" w:eastAsia="华文楷体"/>
                                      <w:sz w:val="18"/>
                                      <w:szCs w:val="18"/>
                                    </w:rPr>
                                    <w:t>风格稳定性指标</w:t>
                                  </w:r>
                                </w:p>
                              </w:txbxContent>
                            </wps:txbx>
                            <wps:bodyPr upright="1"/>
                          </wps:wsp>
                        </a:graphicData>
                      </a:graphic>
                    </wp:anchor>
                  </w:drawing>
                </mc:Choice>
                <mc:Fallback>
                  <w:pict>
                    <v:rect id="矩形 55" o:spid="_x0000_s1026" o:spt="1" style="position:absolute;left:0pt;margin-left:-4.5pt;margin-top:30.7pt;height:28.25pt;width:164.2pt;z-index:251665408;mso-width-relative:page;mso-height-relative:page;" fillcolor="#D7E4BD [1302]" filled="t" stroked="f" coordsize="21600,21600" o:gfxdata="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KbHn1gAAAAkBAAAPAAAAAAAAAAEAIAAAACIAAABkcnMvZG93bnJldi54&#10;bWxQSwECFAAUAAAACACHTuJANdKtBsMBAABgAwAADgAAAAAAAAABACAAAAAlAQAAZHJzL2Uyb0Rv&#10;Yy54bWxQSwUGAAAAAAYABgBZAQAAWgUAAAAA&#10;">
                      <v:fill on="t" focussize="0,0"/>
                      <v:stroke on="f"/>
                      <v:imagedata o:title=""/>
                      <o:lock v:ext="edit" aspectratio="f"/>
                      <v:textbox>
                        <w:txbxContent>
                          <w:p>
                            <w:pPr>
                              <w:rPr>
                                <w:rFonts w:ascii="华文楷体" w:hAnsi="华文楷体" w:eastAsia="华文楷体"/>
                                <w:sz w:val="18"/>
                                <w:szCs w:val="18"/>
                              </w:rPr>
                            </w:pPr>
                            <w:r>
                              <w:rPr>
                                <w:rFonts w:hint="eastAsia" w:ascii="华文楷体" w:hAnsi="华文楷体" w:eastAsia="华文楷体"/>
                                <w:sz w:val="18"/>
                                <w:szCs w:val="18"/>
                              </w:rPr>
                              <w:t>风格稳定性指标</w:t>
                            </w:r>
                          </w:p>
                        </w:txbxContent>
                      </v:textbox>
                    </v:rect>
                  </w:pict>
                </mc:Fallback>
              </mc:AlternateContent>
            </w:r>
          </w:p>
        </w:tc>
      </w:tr>
    </w:tbl>
    <w:p>
      <w:pPr>
        <w:spacing w:line="360" w:lineRule="auto"/>
        <w:rPr>
          <w:rFonts w:ascii="华文仿宋" w:hAnsi="华文仿宋" w:eastAsia="华文仿宋"/>
          <w:b/>
          <w:sz w:val="24"/>
          <w:szCs w:val="24"/>
        </w:rPr>
      </w:pPr>
    </w:p>
    <w:p>
      <w:pPr>
        <w:numPr>
          <w:ilvl w:val="0"/>
          <w:numId w:val="1"/>
        </w:num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场景多元，触达客户</w:t>
      </w:r>
      <w:r>
        <w:rPr>
          <w:rFonts w:ascii="华文仿宋" w:hAnsi="华文仿宋" w:eastAsia="华文仿宋"/>
          <w:b/>
          <w:sz w:val="24"/>
          <w:szCs w:val="24"/>
        </w:rPr>
        <w:t>。</w:t>
      </w:r>
      <w:r>
        <w:rPr>
          <w:rFonts w:hint="eastAsia" w:ascii="华文仿宋" w:hAnsi="华文仿宋" w:eastAsia="华文仿宋"/>
          <w:sz w:val="24"/>
          <w:szCs w:val="24"/>
        </w:rPr>
        <w:t>传统银行具有独具优势的渠道资源，不论是线上抑或是线下，但是正是因为“场景”运用的不足使得其产品创新受限，同质化严重，无法直击客户需求痛点。余额宝就是货基产品与互联网场景完美结合的典范，满足了普通客户小额理财需求。</w:t>
      </w:r>
      <w:r>
        <w:rPr>
          <w:rFonts w:ascii="华文仿宋" w:hAnsi="华文仿宋" w:eastAsia="华文仿宋"/>
          <w:sz w:val="24"/>
          <w:szCs w:val="24"/>
        </w:rPr>
        <w:t>深耕场景，方能使策略模型不</w:t>
      </w:r>
      <w:r>
        <w:rPr>
          <w:rFonts w:hint="eastAsia" w:ascii="华文仿宋" w:hAnsi="华文仿宋" w:eastAsia="华文仿宋"/>
          <w:sz w:val="24"/>
          <w:szCs w:val="24"/>
        </w:rPr>
        <w:t>是机械呆板的运用，而是基于客户习惯与需求，拓宽了策略模型的运用边界与客户网络的覆盖边界</w:t>
      </w: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4</w:t>
            </w:r>
            <w:r>
              <w:rPr>
                <w:rFonts w:hint="eastAsia" w:ascii="华文仿宋" w:hAnsi="华文仿宋" w:eastAsia="华文仿宋"/>
                <w:b/>
                <w:bCs/>
                <w:color w:val="FFFFFF" w:themeColor="background1"/>
                <w:szCs w:val="21"/>
                <w14:textFill>
                  <w14:solidFill>
                    <w14:schemeClr w14:val="bg1"/>
                  </w14:solidFill>
                </w14:textFill>
              </w:rPr>
              <w:t>：金融场景运用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135880" cy="3192145"/>
                  <wp:effectExtent l="0" t="0" r="7620" b="8255"/>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12"/>
                          <a:srcRect l="4547" r="7635" b="2596"/>
                          <a:stretch>
                            <a:fillRect/>
                          </a:stretch>
                        </pic:blipFill>
                        <pic:spPr>
                          <a:xfrm>
                            <a:off x="0" y="0"/>
                            <a:ext cx="5135880" cy="3192145"/>
                          </a:xfrm>
                          <a:prstGeom prst="rect">
                            <a:avLst/>
                          </a:prstGeom>
                          <a:noFill/>
                          <a:ln w="9525">
                            <a:noFill/>
                          </a:ln>
                        </pic:spPr>
                      </pic:pic>
                    </a:graphicData>
                  </a:graphic>
                </wp:inline>
              </w:drawing>
            </w:r>
          </w:p>
        </w:tc>
      </w:tr>
    </w:tbl>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4、智能平台，全天候服务。</w:t>
      </w:r>
      <w:r>
        <w:rPr>
          <w:rFonts w:hint="eastAsia" w:ascii="华文仿宋" w:hAnsi="华文仿宋" w:eastAsia="华文仿宋"/>
          <w:sz w:val="24"/>
          <w:szCs w:val="24"/>
        </w:rPr>
        <w:t>智能化的线上系统平台，使得对客户的服务将不限于时间与空间，银行之间的竞争也将逐步转移到对软硬件设备、系统运营能力的竞争。智能系统（如智能投顾、智能财富管理系统等）的建设，将极大提升银行的服务能力，提升用户的智能化体验，拓宽银行服务边界。</w:t>
      </w:r>
    </w:p>
    <w:p>
      <w:pPr>
        <w:pStyle w:val="4"/>
        <w:rPr>
          <w:rFonts w:ascii="华文仿宋" w:hAnsi="华文仿宋" w:eastAsia="华文仿宋"/>
        </w:rPr>
      </w:pPr>
      <w:bookmarkStart w:id="15" w:name="_Toc28220"/>
      <w:r>
        <w:rPr>
          <w:rFonts w:hint="eastAsia" w:ascii="华文仿宋" w:hAnsi="华文仿宋" w:eastAsia="华文仿宋"/>
        </w:rPr>
        <w:t>（2）系统筹备</w:t>
      </w:r>
      <w:bookmarkEnd w:id="15"/>
    </w:p>
    <w:p/>
    <w:p/>
    <w:p/>
    <w:p/>
    <w:p/>
    <w:p/>
    <w:p/>
    <w:p/>
    <w:p/>
    <w:p/>
    <w:p/>
    <w:p/>
    <w:p/>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szCs w:val="21"/>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5</w:t>
            </w:r>
            <w:r>
              <w:rPr>
                <w:rFonts w:hint="eastAsia" w:ascii="华文仿宋" w:hAnsi="华文仿宋" w:eastAsia="华文仿宋"/>
                <w:b/>
                <w:bCs/>
                <w:color w:val="FFFFFF" w:themeColor="background1"/>
                <w:szCs w:val="21"/>
                <w14:textFill>
                  <w14:solidFill>
                    <w14:schemeClr w14:val="bg1"/>
                  </w14:solidFill>
                </w14:textFill>
              </w:rPr>
              <w:t>：财富管理系统筹备及功能规划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4975860" cy="2697480"/>
                  <wp:effectExtent l="0" t="0" r="15240" b="7620"/>
                  <wp:docPr id="1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IMG_256"/>
                          <pic:cNvPicPr>
                            <a:picLocks noChangeAspect="1"/>
                          </pic:cNvPicPr>
                        </pic:nvPicPr>
                        <pic:blipFill>
                          <a:blip r:embed="rId13"/>
                          <a:stretch>
                            <a:fillRect/>
                          </a:stretch>
                        </pic:blipFill>
                        <pic:spPr>
                          <a:xfrm>
                            <a:off x="0" y="0"/>
                            <a:ext cx="4975860" cy="2697480"/>
                          </a:xfrm>
                          <a:prstGeom prst="rect">
                            <a:avLst/>
                          </a:prstGeom>
                          <a:noFill/>
                          <a:ln w="9525">
                            <a:noFill/>
                          </a:ln>
                        </pic:spPr>
                      </pic:pic>
                    </a:graphicData>
                  </a:graphic>
                </wp:inline>
              </w:drawing>
            </w:r>
          </w:p>
        </w:tc>
      </w:tr>
    </w:tbl>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建立以客户需求为核心的智能财富管理系统提升客户服务产能。</w:t>
      </w:r>
      <w:r>
        <w:rPr>
          <w:rFonts w:hint="eastAsia" w:ascii="华文仿宋" w:hAnsi="华文仿宋" w:eastAsia="华文仿宋"/>
          <w:sz w:val="24"/>
          <w:szCs w:val="24"/>
        </w:rPr>
        <w:t>系统包含客户分析管理、销售管理、智能投顾、工作台四大子系统模块。</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客户分析管理系统基于大数据分析对客户进行分层并识别客户需求。传统的CRM系统仅限于对客户信息的管理，对于金融逻辑的嫁接不足，使得客户的金融需求无法聚焦。基于金融逻辑与金融场景，识别客户的需求，让营销精准触达客户；</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销售管理系统以销售数据分析为核心。通过对销售数据、销售活动的管理及分析，发现销售规律，印证对客户的偏好分析，与客户分析管理系统形成联动；</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智能投顾系统是提升服务长尾客户效率的关键。智能投顾系统通过对客户需求的识别与探索，基于资产配置策略进行线上智能化的推荐，全自动、全流程、全天候的服务，提升客户智能化体验，使得银行提供的服务与客户需求形成精准对焦；</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工作台以日常工作管理为核心。工作台涵盖绩效、考核、资讯等的管理，形成标准化的流程与模块功能，去除不规范、效率低下的管理方式，提升银行对客户的服务产能。</w:t>
      </w:r>
    </w:p>
    <w:p>
      <w:pPr>
        <w:pStyle w:val="3"/>
        <w:rPr>
          <w:rFonts w:ascii="华文仿宋" w:hAnsi="华文仿宋" w:eastAsia="华文仿宋"/>
        </w:rPr>
      </w:pPr>
      <w:bookmarkStart w:id="16" w:name="_Toc21219"/>
      <w:r>
        <w:rPr>
          <w:rFonts w:ascii="华文仿宋" w:hAnsi="华文仿宋" w:eastAsia="华文仿宋"/>
        </w:rPr>
        <w:t xml:space="preserve">2.2 </w:t>
      </w:r>
      <w:r>
        <w:rPr>
          <w:rFonts w:hint="eastAsia" w:ascii="华文仿宋" w:hAnsi="华文仿宋" w:eastAsia="华文仿宋"/>
        </w:rPr>
        <w:t>巧借外力——投资亦可内外兼修</w:t>
      </w:r>
      <w:bookmarkEnd w:id="16"/>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借助系统提升自主投研及委外业务效率是银行快速提升自主投资能力的唯一路径，亦弥补了银行人均管理规模过大造成的管理粗放的缺点。数据与技术的应用与结合，有助于投资时见微知著，统览全局。通过科技技术对投研能力的赋能，驱动银行快速的转型升级。</w:t>
      </w:r>
    </w:p>
    <w:p>
      <w:pPr>
        <w:pStyle w:val="4"/>
        <w:rPr>
          <w:rFonts w:ascii="华文仿宋" w:hAnsi="华文仿宋" w:eastAsia="华文仿宋"/>
        </w:rPr>
      </w:pPr>
      <w:bookmarkStart w:id="17" w:name="_Toc10232"/>
      <w:r>
        <w:rPr>
          <w:rFonts w:hint="eastAsia" w:ascii="华文仿宋" w:hAnsi="华文仿宋" w:eastAsia="华文仿宋"/>
        </w:rPr>
        <w:t>（1）系统功能规划</w:t>
      </w:r>
      <w:bookmarkEnd w:id="17"/>
    </w:p>
    <w:p>
      <w:pPr>
        <w:spacing w:line="360" w:lineRule="auto"/>
        <w:ind w:firstLine="600"/>
        <w:rPr>
          <w:rFonts w:ascii="华文仿宋" w:hAnsi="华文仿宋" w:eastAsia="华文仿宋"/>
          <w:sz w:val="24"/>
          <w:szCs w:val="24"/>
        </w:rPr>
      </w:pPr>
      <w:r>
        <w:rPr>
          <w:rFonts w:hint="eastAsia" w:ascii="华文仿宋" w:hAnsi="华文仿宋" w:eastAsia="华文仿宋"/>
          <w:b/>
          <w:sz w:val="24"/>
          <w:szCs w:val="24"/>
        </w:rPr>
        <w:t>1、庞大的金融数据库提供准确、稳定的金融数据流。</w:t>
      </w:r>
      <w:r>
        <w:rPr>
          <w:rFonts w:hint="eastAsia" w:ascii="华文仿宋" w:hAnsi="华文仿宋" w:eastAsia="华文仿宋"/>
          <w:sz w:val="24"/>
          <w:szCs w:val="24"/>
        </w:rPr>
        <w:t>识别风险、捕捉投资机会是银行资管业务向“真资管”规模转型时，对投研的核心需求。只有拥有准确、稳定、丰富的底层资产数据库、宏观经济数据库、产品信息库等数据库才能真正使投资经理实现不再需要手工进行资料收集与整合的功能，进而支撑对投研的监测、预警与评价。</w:t>
      </w:r>
    </w:p>
    <w:p>
      <w:pPr>
        <w:spacing w:line="360" w:lineRule="auto"/>
        <w:ind w:firstLine="600"/>
        <w:rPr>
          <w:rFonts w:ascii="华文仿宋" w:hAnsi="华文仿宋" w:eastAsia="华文仿宋"/>
          <w:sz w:val="24"/>
          <w:szCs w:val="24"/>
        </w:rPr>
      </w:pPr>
    </w:p>
    <w:p>
      <w:pPr>
        <w:spacing w:line="360" w:lineRule="auto"/>
        <w:ind w:firstLine="600"/>
        <w:rPr>
          <w:rFonts w:ascii="华文仿宋" w:hAnsi="华文仿宋" w:eastAsia="华文仿宋"/>
          <w:sz w:val="24"/>
          <w:szCs w:val="24"/>
        </w:rPr>
      </w:pPr>
    </w:p>
    <w:p>
      <w:pPr>
        <w:spacing w:line="360" w:lineRule="auto"/>
        <w:ind w:firstLine="600"/>
        <w:rPr>
          <w:rFonts w:ascii="华文仿宋" w:hAnsi="华文仿宋" w:eastAsia="华文仿宋"/>
          <w:sz w:val="24"/>
          <w:szCs w:val="24"/>
        </w:rPr>
      </w:pPr>
    </w:p>
    <w:p>
      <w:pPr>
        <w:spacing w:line="360" w:lineRule="auto"/>
        <w:ind w:firstLine="600"/>
        <w:rPr>
          <w:rFonts w:ascii="华文仿宋" w:hAnsi="华文仿宋" w:eastAsia="华文仿宋"/>
          <w:sz w:val="24"/>
          <w:szCs w:val="24"/>
        </w:rPr>
      </w:pPr>
    </w:p>
    <w:p>
      <w:pPr>
        <w:spacing w:line="360" w:lineRule="auto"/>
        <w:ind w:firstLine="600"/>
        <w:rPr>
          <w:rFonts w:ascii="华文仿宋" w:hAnsi="华文仿宋" w:eastAsia="华文仿宋"/>
          <w:sz w:val="24"/>
          <w:szCs w:val="24"/>
        </w:rPr>
      </w:pPr>
    </w:p>
    <w:p>
      <w:pPr>
        <w:spacing w:line="360" w:lineRule="auto"/>
        <w:ind w:firstLine="600"/>
        <w:rPr>
          <w:rFonts w:ascii="华文仿宋" w:hAnsi="华文仿宋" w:eastAsia="华文仿宋"/>
          <w:sz w:val="24"/>
          <w:szCs w:val="24"/>
        </w:rPr>
      </w:pPr>
    </w:p>
    <w:p>
      <w:pPr>
        <w:spacing w:line="360" w:lineRule="auto"/>
        <w:ind w:firstLine="600"/>
        <w:rPr>
          <w:rFonts w:ascii="华文仿宋" w:hAnsi="华文仿宋" w:eastAsia="华文仿宋"/>
          <w:sz w:val="24"/>
          <w:szCs w:val="24"/>
        </w:rPr>
      </w:pPr>
    </w:p>
    <w:p>
      <w:pPr>
        <w:spacing w:line="360" w:lineRule="auto"/>
        <w:ind w:firstLine="600"/>
        <w:rPr>
          <w:rFonts w:ascii="华文仿宋" w:hAnsi="华文仿宋" w:eastAsia="华文仿宋"/>
          <w:sz w:val="24"/>
          <w:szCs w:val="24"/>
        </w:rPr>
      </w:pP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6</w:t>
            </w:r>
            <w:r>
              <w:rPr>
                <w:rFonts w:hint="eastAsia" w:ascii="华文仿宋" w:hAnsi="华文仿宋" w:eastAsia="华文仿宋"/>
                <w:b/>
                <w:bCs/>
                <w:color w:val="FFFFFF" w:themeColor="background1"/>
                <w:szCs w:val="21"/>
                <w14:textFill>
                  <w14:solidFill>
                    <w14:schemeClr w14:val="bg1"/>
                  </w14:solidFill>
                </w14:textFill>
              </w:rPr>
              <w:t>：丰富的底层数据库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170805" cy="3160395"/>
                  <wp:effectExtent l="0" t="0" r="10795" b="190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4"/>
                          <a:stretch>
                            <a:fillRect/>
                          </a:stretch>
                        </pic:blipFill>
                        <pic:spPr>
                          <a:xfrm>
                            <a:off x="0" y="0"/>
                            <a:ext cx="5170805" cy="3160395"/>
                          </a:xfrm>
                          <a:prstGeom prst="rect">
                            <a:avLst/>
                          </a:prstGeom>
                          <a:noFill/>
                          <a:ln w="9525">
                            <a:noFill/>
                          </a:ln>
                        </pic:spPr>
                      </pic:pic>
                    </a:graphicData>
                  </a:graphic>
                </wp:inline>
              </w:drawing>
            </w:r>
          </w:p>
        </w:tc>
      </w:tr>
    </w:tbl>
    <w:p>
      <w:pPr>
        <w:spacing w:line="360" w:lineRule="auto"/>
        <w:rPr>
          <w:rFonts w:ascii="华文仿宋" w:hAnsi="华文仿宋" w:eastAsia="华文仿宋"/>
          <w:b/>
          <w:sz w:val="24"/>
          <w:szCs w:val="24"/>
        </w:rPr>
      </w:pP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2、内置大类资产配置策略，快速配置。</w:t>
      </w:r>
      <w:r>
        <w:rPr>
          <w:rFonts w:hint="eastAsia" w:ascii="华文仿宋" w:hAnsi="华文仿宋" w:eastAsia="华文仿宋"/>
          <w:sz w:val="24"/>
          <w:szCs w:val="24"/>
        </w:rPr>
        <w:t>自上而下的配置过程需要辅之以适用的策略，通过在系统中嵌入策略，高效进行资产配置与动态调整，将主动资产管理能力对策略开发能力的考验转移为对策略运用能力的考验。</w:t>
      </w:r>
    </w:p>
    <w:p>
      <w:pPr>
        <w:spacing w:line="360" w:lineRule="auto"/>
        <w:ind w:firstLine="600"/>
        <w:rPr>
          <w:rFonts w:ascii="华文仿宋" w:hAnsi="华文仿宋" w:eastAsia="华文仿宋"/>
          <w:sz w:val="24"/>
          <w:szCs w:val="24"/>
        </w:rPr>
      </w:pP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7</w:t>
            </w:r>
            <w:r>
              <w:rPr>
                <w:rFonts w:hint="eastAsia" w:ascii="华文仿宋" w:hAnsi="华文仿宋" w:eastAsia="华文仿宋"/>
                <w:b/>
                <w:bCs/>
                <w:color w:val="FFFFFF" w:themeColor="background1"/>
                <w:szCs w:val="21"/>
                <w14:textFill>
                  <w14:solidFill>
                    <w14:schemeClr w14:val="bg1"/>
                  </w14:solidFill>
                </w14:textFill>
              </w:rPr>
              <w:t>：投资流程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113020" cy="2327275"/>
                  <wp:effectExtent l="0" t="0" r="11430"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a:stretch>
                            <a:fillRect/>
                          </a:stretch>
                        </pic:blipFill>
                        <pic:spPr>
                          <a:xfrm>
                            <a:off x="0" y="0"/>
                            <a:ext cx="5113020" cy="2327275"/>
                          </a:xfrm>
                          <a:prstGeom prst="rect">
                            <a:avLst/>
                          </a:prstGeom>
                          <a:noFill/>
                          <a:ln w="9525">
                            <a:noFill/>
                          </a:ln>
                        </pic:spPr>
                      </pic:pic>
                    </a:graphicData>
                  </a:graphic>
                </wp:inline>
              </w:drawing>
            </w:r>
          </w:p>
        </w:tc>
      </w:tr>
    </w:tbl>
    <w:p>
      <w:pPr>
        <w:spacing w:line="360" w:lineRule="auto"/>
        <w:rPr>
          <w:rFonts w:ascii="华文仿宋" w:hAnsi="华文仿宋" w:eastAsia="华文仿宋"/>
          <w:sz w:val="24"/>
          <w:szCs w:val="24"/>
        </w:rPr>
      </w:pPr>
    </w:p>
    <w:p>
      <w:pPr>
        <w:spacing w:line="360" w:lineRule="auto"/>
        <w:ind w:firstLine="600"/>
        <w:rPr>
          <w:rFonts w:ascii="华文仿宋" w:hAnsi="华文仿宋" w:eastAsia="华文仿宋"/>
          <w:sz w:val="24"/>
          <w:szCs w:val="24"/>
        </w:rPr>
      </w:pPr>
      <w:r>
        <w:rPr>
          <w:rFonts w:hint="eastAsia" w:ascii="华文仿宋" w:hAnsi="华文仿宋" w:eastAsia="华文仿宋"/>
          <w:b/>
          <w:sz w:val="24"/>
          <w:szCs w:val="24"/>
        </w:rPr>
        <w:t>3、标准化的评价流程消除主观因素的扰动。</w:t>
      </w:r>
      <w:r>
        <w:rPr>
          <w:rFonts w:hint="eastAsia" w:ascii="华文仿宋" w:hAnsi="华文仿宋" w:eastAsia="华文仿宋"/>
          <w:sz w:val="24"/>
          <w:szCs w:val="24"/>
        </w:rPr>
        <w:t>通过标准化的产品评价、管理人评价等，实现对于投研各业务节点的考核分析，同时也消除个人主观因素的判断与扰动。产品评价与管理人评价均基于金融数据库的大数据分析，完善了“数据-监测-评价-考核”的管理链条。</w:t>
      </w:r>
    </w:p>
    <w:p>
      <w:pPr>
        <w:spacing w:line="360" w:lineRule="auto"/>
        <w:ind w:firstLine="480" w:firstLineChars="200"/>
        <w:rPr>
          <w:rFonts w:ascii="华文仿宋" w:hAnsi="华文仿宋" w:eastAsia="华文仿宋"/>
          <w:sz w:val="24"/>
          <w:szCs w:val="24"/>
        </w:rPr>
      </w:pPr>
      <w:r>
        <w:rPr>
          <w:rFonts w:ascii="华文仿宋" w:hAnsi="华文仿宋" w:eastAsia="华文仿宋"/>
          <w:b/>
          <w:sz w:val="24"/>
          <w:szCs w:val="24"/>
        </w:rPr>
        <w:t>4</w:t>
      </w:r>
      <w:r>
        <w:rPr>
          <w:rFonts w:hint="eastAsia" w:ascii="华文仿宋" w:hAnsi="华文仿宋" w:eastAsia="华文仿宋"/>
          <w:b/>
          <w:sz w:val="24"/>
          <w:szCs w:val="24"/>
        </w:rPr>
        <w:t>、数据联动，系统化的投资全流程管理。</w:t>
      </w:r>
      <w:r>
        <w:rPr>
          <w:rFonts w:hint="eastAsia" w:ascii="华文仿宋" w:hAnsi="华文仿宋" w:eastAsia="华文仿宋"/>
          <w:sz w:val="24"/>
          <w:szCs w:val="24"/>
        </w:rPr>
        <w:t>系统化投资全流程管理涵盖投前、投中、投后各业务节点。通过各金融数据库、各模块的联动，自主投资流程实现自上而下的投研全流程、全周期分析框架，委外投资实现对管理人、委外业务投前、投中、投后的全链条管理框架。</w:t>
      </w: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8</w:t>
            </w:r>
            <w:r>
              <w:rPr>
                <w:rFonts w:hint="eastAsia" w:ascii="华文仿宋" w:hAnsi="华文仿宋" w:eastAsia="华文仿宋"/>
                <w:b/>
                <w:bCs/>
                <w:color w:val="FFFFFF" w:themeColor="background1"/>
                <w:szCs w:val="21"/>
                <w14:textFill>
                  <w14:solidFill>
                    <w14:schemeClr w14:val="bg1"/>
                  </w14:solidFill>
                </w14:textFill>
              </w:rPr>
              <w:t>：一站式MOM管理系统功能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095875" cy="3061335"/>
                  <wp:effectExtent l="0" t="0" r="9525" b="5715"/>
                  <wp:docPr id="3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descr="IMG_256"/>
                          <pic:cNvPicPr>
                            <a:picLocks noChangeAspect="1"/>
                          </pic:cNvPicPr>
                        </pic:nvPicPr>
                        <pic:blipFill>
                          <a:blip r:embed="rId16"/>
                          <a:srcRect t="5285" r="410"/>
                          <a:stretch>
                            <a:fillRect/>
                          </a:stretch>
                        </pic:blipFill>
                        <pic:spPr>
                          <a:xfrm>
                            <a:off x="0" y="0"/>
                            <a:ext cx="5095875" cy="3061335"/>
                          </a:xfrm>
                          <a:prstGeom prst="rect">
                            <a:avLst/>
                          </a:prstGeom>
                          <a:noFill/>
                          <a:ln w="9525">
                            <a:noFill/>
                          </a:ln>
                        </pic:spPr>
                      </pic:pic>
                    </a:graphicData>
                  </a:graphic>
                </wp:inline>
              </w:drawing>
            </w:r>
          </w:p>
        </w:tc>
      </w:tr>
    </w:tbl>
    <w:p>
      <w:pPr>
        <w:pStyle w:val="4"/>
        <w:rPr>
          <w:rFonts w:ascii="华文仿宋" w:hAnsi="华文仿宋" w:eastAsia="华文仿宋"/>
        </w:rPr>
      </w:pPr>
      <w:bookmarkStart w:id="18" w:name="_Toc8271"/>
      <w:r>
        <w:rPr>
          <w:rFonts w:hint="eastAsia" w:ascii="华文仿宋" w:hAnsi="华文仿宋" w:eastAsia="华文仿宋"/>
        </w:rPr>
        <w:t>（2）系统筹备</w:t>
      </w:r>
      <w:bookmarkEnd w:id="18"/>
    </w:p>
    <w:p/>
    <w:p/>
    <w:p/>
    <w:p/>
    <w:p/>
    <w:p/>
    <w:p/>
    <w:p/>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szCs w:val="21"/>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9</w:t>
            </w:r>
            <w:r>
              <w:rPr>
                <w:rFonts w:hint="eastAsia" w:ascii="华文仿宋" w:hAnsi="华文仿宋" w:eastAsia="华文仿宋"/>
                <w:b/>
                <w:bCs/>
                <w:color w:val="FFFFFF" w:themeColor="background1"/>
                <w:szCs w:val="21"/>
                <w14:textFill>
                  <w14:solidFill>
                    <w14:schemeClr w14:val="bg1"/>
                  </w14:solidFill>
                </w14:textFill>
              </w:rPr>
              <w:t>：资产配置系统筹备及功能规划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168265" cy="2724150"/>
                  <wp:effectExtent l="0" t="0" r="13335" b="0"/>
                  <wp:docPr id="15"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IMG_256"/>
                          <pic:cNvPicPr>
                            <a:picLocks noChangeAspect="1"/>
                          </pic:cNvPicPr>
                        </pic:nvPicPr>
                        <pic:blipFill>
                          <a:blip r:embed="rId17"/>
                          <a:stretch>
                            <a:fillRect/>
                          </a:stretch>
                        </pic:blipFill>
                        <pic:spPr>
                          <a:xfrm>
                            <a:off x="0" y="0"/>
                            <a:ext cx="5168265" cy="2724150"/>
                          </a:xfrm>
                          <a:prstGeom prst="rect">
                            <a:avLst/>
                          </a:prstGeom>
                          <a:noFill/>
                          <a:ln w="9525">
                            <a:noFill/>
                          </a:ln>
                        </pic:spPr>
                      </pic:pic>
                    </a:graphicData>
                  </a:graphic>
                </wp:inline>
              </w:drawing>
            </w:r>
          </w:p>
        </w:tc>
      </w:tr>
    </w:tbl>
    <w:p/>
    <w:p>
      <w:pPr>
        <w:spacing w:line="360" w:lineRule="auto"/>
        <w:ind w:firstLine="601"/>
        <w:rPr>
          <w:rFonts w:ascii="华文仿宋" w:hAnsi="华文仿宋" w:eastAsia="华文仿宋"/>
          <w:sz w:val="24"/>
          <w:szCs w:val="24"/>
        </w:rPr>
      </w:pPr>
      <w:r>
        <w:rPr>
          <w:rFonts w:hint="eastAsia" w:ascii="华文仿宋" w:hAnsi="华文仿宋" w:eastAsia="华文仿宋"/>
          <w:b/>
          <w:sz w:val="24"/>
          <w:szCs w:val="24"/>
        </w:rPr>
        <w:t>建立以投研为核心的资产配置系统。</w:t>
      </w:r>
      <w:r>
        <w:rPr>
          <w:rFonts w:hint="eastAsia" w:ascii="华文仿宋" w:hAnsi="华文仿宋" w:eastAsia="华文仿宋"/>
          <w:sz w:val="24"/>
          <w:szCs w:val="24"/>
        </w:rPr>
        <w:t>资产配置系统包含自主投资与委外投资两种业务模式下涉及的各项系统需求，对接底层数据库。</w:t>
      </w:r>
    </w:p>
    <w:p>
      <w:pPr>
        <w:spacing w:line="360" w:lineRule="auto"/>
        <w:ind w:firstLine="601"/>
        <w:rPr>
          <w:rFonts w:ascii="华文仿宋" w:hAnsi="华文仿宋" w:eastAsia="华文仿宋"/>
          <w:sz w:val="24"/>
          <w:szCs w:val="24"/>
        </w:rPr>
      </w:pPr>
      <w:r>
        <w:rPr>
          <w:rFonts w:hint="eastAsia" w:ascii="华文仿宋" w:hAnsi="华文仿宋" w:eastAsia="华文仿宋"/>
          <w:sz w:val="24"/>
          <w:szCs w:val="24"/>
        </w:rPr>
        <w:t>产品研发与管理系统涵盖各类型产品线的研发以及管理，尤其是净值型产品的管理模块，是资管业务转型下银行迫切需要进行布局开发的模块；</w:t>
      </w:r>
    </w:p>
    <w:p>
      <w:pPr>
        <w:spacing w:line="360" w:lineRule="auto"/>
        <w:ind w:firstLine="601"/>
        <w:rPr>
          <w:rFonts w:ascii="华文仿宋" w:hAnsi="华文仿宋" w:eastAsia="华文仿宋"/>
          <w:sz w:val="24"/>
          <w:szCs w:val="24"/>
        </w:rPr>
      </w:pPr>
      <w:r>
        <w:rPr>
          <w:rFonts w:hint="eastAsia" w:ascii="华文仿宋" w:hAnsi="华文仿宋" w:eastAsia="华文仿宋"/>
          <w:sz w:val="24"/>
          <w:szCs w:val="24"/>
        </w:rPr>
        <w:t>FOF智能投研系统为银行提供策略运用的平台，产品涵盖公募、私募各类资管产品。FOF应具有基金筛选、基金配置、组合追踪监测、组合评价等功能，大类资产配置策略、产品评级评价是FOF投研系统的主板；</w:t>
      </w:r>
    </w:p>
    <w:p>
      <w:pPr>
        <w:spacing w:line="360" w:lineRule="auto"/>
        <w:ind w:firstLine="601"/>
        <w:rPr>
          <w:rFonts w:ascii="华文仿宋" w:hAnsi="华文仿宋" w:eastAsia="华文仿宋"/>
          <w:sz w:val="24"/>
          <w:szCs w:val="24"/>
        </w:rPr>
      </w:pPr>
      <w:r>
        <w:rPr>
          <w:rFonts w:hint="eastAsia" w:ascii="华文仿宋" w:hAnsi="华文仿宋" w:eastAsia="华文仿宋"/>
          <w:sz w:val="24"/>
          <w:szCs w:val="24"/>
        </w:rPr>
        <w:t>MOM管理系统实现对委外业务全流程的管理。MOM管理系统以管理人筛选以及信用评级为核心，则对于管理人的评价、推荐、梯队管理、以及信用评级将是MOM系统的主板。MOM系统的开发将提升银行对委外业务的掌控力，实现银行对投资合作机构的管理；</w:t>
      </w:r>
    </w:p>
    <w:p>
      <w:pPr>
        <w:spacing w:line="360" w:lineRule="auto"/>
        <w:ind w:firstLine="601"/>
        <w:rPr>
          <w:rFonts w:ascii="华文仿宋" w:hAnsi="华文仿宋" w:eastAsia="华文仿宋"/>
          <w:sz w:val="24"/>
          <w:szCs w:val="24"/>
        </w:rPr>
      </w:pPr>
      <w:r>
        <w:rPr>
          <w:rFonts w:hint="eastAsia" w:ascii="华文仿宋" w:hAnsi="华文仿宋" w:eastAsia="华文仿宋"/>
          <w:sz w:val="24"/>
          <w:szCs w:val="24"/>
        </w:rPr>
        <w:t>投研系统为银行投研以及策略开发提供支持。通过与数据库的联动，对数据进行充分挖掘、整合、提炼，及时发现市场机会与市场风险，助力于投资经理的决策。</w:t>
      </w:r>
    </w:p>
    <w:p>
      <w:pPr>
        <w:pStyle w:val="3"/>
        <w:rPr>
          <w:rFonts w:ascii="华文仿宋" w:hAnsi="华文仿宋" w:eastAsia="华文仿宋"/>
        </w:rPr>
      </w:pPr>
      <w:bookmarkStart w:id="19" w:name="_Toc3701"/>
      <w:r>
        <w:rPr>
          <w:rFonts w:ascii="华文仿宋" w:hAnsi="华文仿宋" w:eastAsia="华文仿宋"/>
        </w:rPr>
        <w:t>2.3</w:t>
      </w:r>
      <w:r>
        <w:rPr>
          <w:rFonts w:hint="eastAsia" w:ascii="华文仿宋" w:hAnsi="华文仿宋" w:eastAsia="华文仿宋"/>
        </w:rPr>
        <w:t>数据驱动——运营需要风险穿透</w:t>
      </w:r>
      <w:bookmarkEnd w:id="19"/>
    </w:p>
    <w:p>
      <w:pPr>
        <w:spacing w:line="360" w:lineRule="auto"/>
        <w:ind w:firstLine="601"/>
        <w:rPr>
          <w:rFonts w:ascii="华文仿宋" w:hAnsi="华文仿宋" w:eastAsia="华文仿宋"/>
          <w:sz w:val="24"/>
          <w:szCs w:val="24"/>
        </w:rPr>
      </w:pPr>
      <w:r>
        <w:rPr>
          <w:rFonts w:hint="eastAsia" w:ascii="华文仿宋" w:hAnsi="华文仿宋" w:eastAsia="华文仿宋"/>
          <w:sz w:val="24"/>
          <w:szCs w:val="24"/>
        </w:rPr>
        <w:t>业务的转型过程中产品形式及管理方式的剧变将带来运营管理的改变。产品的净值化转型，对于产品的投资、交易、估值、定价的管理思路均将不同于以往，同时对于产品的市场风险、流动性风险、信用风险的管理，将进行更深一步的扩展。系统化的运营建设将各业务节点有机结合，形成标准化的管理。</w:t>
      </w:r>
    </w:p>
    <w:p>
      <w:pPr>
        <w:pStyle w:val="4"/>
        <w:rPr>
          <w:rFonts w:ascii="华文仿宋" w:hAnsi="华文仿宋" w:eastAsia="华文仿宋"/>
        </w:rPr>
      </w:pPr>
      <w:bookmarkStart w:id="20" w:name="_Toc17585"/>
      <w:r>
        <w:rPr>
          <w:rFonts w:hint="eastAsia" w:ascii="华文仿宋" w:hAnsi="华文仿宋" w:eastAsia="华文仿宋"/>
        </w:rPr>
        <w:t>（1）系统功能规划</w:t>
      </w:r>
      <w:bookmarkEnd w:id="20"/>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b/>
          <w:sz w:val="24"/>
          <w:szCs w:val="24"/>
        </w:rPr>
        <w:t>信息化建设，风险穿透。</w:t>
      </w:r>
      <w:r>
        <w:rPr>
          <w:rFonts w:hint="eastAsia" w:ascii="华文仿宋" w:hAnsi="华文仿宋" w:eastAsia="华文仿宋"/>
          <w:sz w:val="24"/>
          <w:szCs w:val="24"/>
        </w:rPr>
        <w:t>风险穿透的前提是做到对数据信息的实时监测、分析、预警、处置。从投资端到销售端，从资产到产品，从内部投资到外部投资，都涉及到庞大的信息数据流，通过对各数据流的充分耦合，形成细分的风险管理系统，穿透识别各投资节点的风险，同时，建设内部运营管理系统，穿透识别各管理节点的风险，并结合人工智能等技术，实现资管的智能化管理。</w:t>
      </w:r>
    </w:p>
    <w:p>
      <w:pPr>
        <w:spacing w:line="360" w:lineRule="auto"/>
        <w:ind w:firstLine="555"/>
        <w:rPr>
          <w:rFonts w:ascii="华文仿宋" w:hAnsi="华文仿宋" w:eastAsia="华文仿宋"/>
          <w:sz w:val="24"/>
          <w:szCs w:val="24"/>
        </w:rPr>
      </w:pPr>
      <w:r>
        <w:rPr>
          <w:rFonts w:hint="eastAsia" w:ascii="华文仿宋" w:hAnsi="华文仿宋" w:eastAsia="华文仿宋"/>
          <w:b/>
          <w:sz w:val="24"/>
          <w:szCs w:val="24"/>
        </w:rPr>
        <w:t>产品转型，完善净值型产品的运营。</w:t>
      </w:r>
      <w:r>
        <w:rPr>
          <w:rFonts w:hint="eastAsia" w:ascii="华文仿宋" w:hAnsi="华文仿宋" w:eastAsia="华文仿宋"/>
          <w:sz w:val="24"/>
          <w:szCs w:val="24"/>
        </w:rPr>
        <w:t>净值型产品的运营管理与预期收益型产品的运作管理工作量级远远不同，对净值型产品的管理将无法仅依托于人工方式进行，产品净值化运作需要配套的运营管理系统，提供投资交易、估值清算、流动性管理、信息披露等功能。</w:t>
      </w:r>
    </w:p>
    <w:p>
      <w:pPr>
        <w:pStyle w:val="4"/>
        <w:rPr>
          <w:rFonts w:ascii="华文仿宋" w:hAnsi="华文仿宋" w:eastAsia="华文仿宋"/>
        </w:rPr>
      </w:pPr>
      <w:bookmarkStart w:id="21" w:name="_Toc19816"/>
      <w:r>
        <w:rPr>
          <w:rFonts w:hint="eastAsia" w:ascii="华文仿宋" w:hAnsi="华文仿宋" w:eastAsia="华文仿宋"/>
        </w:rPr>
        <w:t>（2）系统筹备</w:t>
      </w:r>
      <w:bookmarkEnd w:id="21"/>
    </w:p>
    <w:p/>
    <w:p/>
    <w:p/>
    <w:p/>
    <w:p/>
    <w:p/>
    <w:p/>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szCs w:val="21"/>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10</w:t>
            </w:r>
            <w:r>
              <w:rPr>
                <w:rFonts w:hint="eastAsia" w:ascii="华文仿宋" w:hAnsi="华文仿宋" w:eastAsia="华文仿宋"/>
                <w:b/>
                <w:bCs/>
                <w:color w:val="FFFFFF" w:themeColor="background1"/>
                <w:szCs w:val="21"/>
                <w14:textFill>
                  <w14:solidFill>
                    <w14:schemeClr w14:val="bg1"/>
                  </w14:solidFill>
                </w14:textFill>
              </w:rPr>
              <w:t>：运营管理系统筹备及功能规划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136515" cy="2837815"/>
                  <wp:effectExtent l="0" t="0" r="6985" b="635"/>
                  <wp:docPr id="17"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IMG_256"/>
                          <pic:cNvPicPr>
                            <a:picLocks noChangeAspect="1"/>
                          </pic:cNvPicPr>
                        </pic:nvPicPr>
                        <pic:blipFill>
                          <a:blip r:embed="rId18"/>
                          <a:srcRect t="1150" r="-735"/>
                          <a:stretch>
                            <a:fillRect/>
                          </a:stretch>
                        </pic:blipFill>
                        <pic:spPr>
                          <a:xfrm>
                            <a:off x="0" y="0"/>
                            <a:ext cx="5136515" cy="2837815"/>
                          </a:xfrm>
                          <a:prstGeom prst="rect">
                            <a:avLst/>
                          </a:prstGeom>
                          <a:noFill/>
                          <a:ln w="9525">
                            <a:noFill/>
                          </a:ln>
                        </pic:spPr>
                      </pic:pic>
                    </a:graphicData>
                  </a:graphic>
                </wp:inline>
              </w:drawing>
            </w:r>
          </w:p>
        </w:tc>
      </w:tr>
    </w:tbl>
    <w:p/>
    <w:p>
      <w:pPr>
        <w:spacing w:line="360" w:lineRule="auto"/>
        <w:ind w:firstLine="601" w:firstLineChars="250"/>
        <w:rPr>
          <w:rFonts w:ascii="华文仿宋" w:hAnsi="华文仿宋" w:eastAsia="华文仿宋"/>
          <w:sz w:val="24"/>
          <w:szCs w:val="24"/>
        </w:rPr>
      </w:pPr>
      <w:r>
        <w:rPr>
          <w:rFonts w:hint="eastAsia" w:ascii="华文仿宋" w:hAnsi="华文仿宋" w:eastAsia="华文仿宋"/>
          <w:b/>
          <w:sz w:val="24"/>
          <w:szCs w:val="24"/>
        </w:rPr>
        <w:t>建立以运营数据为核心的运营管理系统。</w:t>
      </w:r>
      <w:r>
        <w:rPr>
          <w:rFonts w:hint="eastAsia" w:ascii="华文仿宋" w:hAnsi="华文仿宋" w:eastAsia="华文仿宋"/>
          <w:sz w:val="24"/>
          <w:szCs w:val="24"/>
        </w:rPr>
        <w:t>基于资管业务转型后产品的形态特点，运营管理系统将是银行资管日常运营过程中的必备系统之一。</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投资交易执行系统将严控交易的合规性与精准性，有效防止操作风险。资管产品交易模式的改变对投资交易系统的性能以及功能都提出了更高的要求，交易执行系统除了交易的功能外，还需要结合数据控制与运营系统、风险管理系统等其他系统，对于不适当交易、不合规交易等进行预警提醒；</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估值清算系统将基于市值法，实现对产品的实时估值。若需实现对产品基于市值法的估值，需要连接对应的底层资产数据库，将资产真实的价值波动反应于产品的净值上；</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数据控制与运营系统实现对数据的核心管理。通过对财务数据以及报表的统一管理，从数据层面进行充分的运营、维护管理，强化内部的管理控制与系统支持；</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风险管理系统涵盖全类别风险管理。风险管理应结合银行资管业务的战略转型方向，涵盖了包括信用风险、市场风险、流动性风险、合规风险等各类风险的管理。通过系统化的方式将风险管理渗透到各业务环节，而各风险管理子系统通过风险框架、风险参数等的预选设定，对于各业务环节的风险进行判断、预警、处置。</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运营管理系统将是银行架设托管系统的基础与关键。资管新规对于商业银行理财托管的要求，使得银行将把托管业务置于重要的战略地位，尤其是在未来成立资管子公司的大势所趋之下，在资管业务剥离之后，托管业务将是银行开拓业务领域，增收创收的重要业务。</w:t>
      </w: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11</w:t>
            </w:r>
            <w:r>
              <w:rPr>
                <w:rFonts w:hint="eastAsia" w:ascii="华文仿宋" w:hAnsi="华文仿宋" w:eastAsia="华文仿宋"/>
                <w:b/>
                <w:bCs/>
                <w:color w:val="FFFFFF" w:themeColor="background1"/>
                <w:szCs w:val="21"/>
                <w14:textFill>
                  <w14:solidFill>
                    <w14:schemeClr w14:val="bg1"/>
                  </w14:solidFill>
                </w14:textFill>
              </w:rPr>
              <w:t>：商业银行托管系统规划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spacing w:line="360" w:lineRule="auto"/>
              <w:rPr>
                <w:rFonts w:ascii="华文仿宋" w:hAnsi="华文仿宋" w:eastAsia="华文仿宋"/>
                <w:sz w:val="24"/>
                <w:szCs w:val="24"/>
              </w:rPr>
            </w:pPr>
            <w:r>
              <w:rPr>
                <w:rFonts w:ascii="华文仿宋" w:hAnsi="华文仿宋" w:eastAsia="华文仿宋"/>
                <w:sz w:val="24"/>
                <w:szCs w:val="24"/>
              </w:rPr>
              <w:drawing>
                <wp:inline distT="0" distB="0" distL="0" distR="0">
                  <wp:extent cx="5164455" cy="22682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167653" cy="2269531"/>
                          </a:xfrm>
                          <a:prstGeom prst="rect">
                            <a:avLst/>
                          </a:prstGeom>
                          <a:noFill/>
                        </pic:spPr>
                      </pic:pic>
                    </a:graphicData>
                  </a:graphic>
                </wp:inline>
              </w:drawing>
            </w:r>
          </w:p>
        </w:tc>
      </w:tr>
    </w:tbl>
    <w:p>
      <w:pPr>
        <w:spacing w:line="360" w:lineRule="auto"/>
        <w:rPr>
          <w:rFonts w:ascii="华文仿宋" w:hAnsi="华文仿宋" w:eastAsia="华文仿宋"/>
          <w:sz w:val="24"/>
          <w:szCs w:val="24"/>
        </w:rPr>
      </w:pPr>
    </w:p>
    <w:p>
      <w:pPr>
        <w:pStyle w:val="2"/>
        <w:rPr>
          <w:rFonts w:ascii="华文仿宋" w:hAnsi="华文仿宋" w:eastAsia="华文仿宋"/>
          <w:b w:val="0"/>
          <w:sz w:val="28"/>
          <w:szCs w:val="28"/>
        </w:rPr>
      </w:pPr>
      <w:bookmarkStart w:id="22" w:name="_Toc26803"/>
      <w:r>
        <w:rPr>
          <w:rFonts w:hint="eastAsia" w:ascii="华文仿宋" w:hAnsi="华文仿宋" w:eastAsia="华文仿宋"/>
        </w:rPr>
        <w:t>三、智能资管建设思路及规划</w:t>
      </w:r>
      <w:bookmarkEnd w:id="22"/>
      <w:r>
        <w:rPr>
          <w:rFonts w:hint="eastAsia" w:ascii="华文仿宋" w:hAnsi="华文仿宋" w:eastAsia="华文仿宋"/>
        </w:rPr>
        <w:t xml:space="preserve"> </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系统搭建的核心理念为：整体规划、分步实施、快速迭代、系统整合。系统的建设必须建立在金融逻辑与业务逻辑之上，通过技术适配，充分运用金融逻辑对基础数据进行糅合，使系统服务于投资流程与业务流程。</w:t>
      </w:r>
    </w:p>
    <w:p>
      <w:pPr>
        <w:pStyle w:val="3"/>
        <w:rPr>
          <w:rFonts w:ascii="华文仿宋" w:hAnsi="华文仿宋" w:eastAsia="华文仿宋"/>
        </w:rPr>
      </w:pPr>
      <w:bookmarkStart w:id="23" w:name="_Toc3948"/>
      <w:r>
        <w:rPr>
          <w:rFonts w:hint="eastAsia" w:ascii="华文仿宋" w:hAnsi="华文仿宋" w:eastAsia="华文仿宋"/>
        </w:rPr>
        <w:t>3</w:t>
      </w:r>
      <w:r>
        <w:rPr>
          <w:rFonts w:ascii="华文仿宋" w:hAnsi="华文仿宋" w:eastAsia="华文仿宋"/>
        </w:rPr>
        <w:t xml:space="preserve">.1 </w:t>
      </w:r>
      <w:r>
        <w:rPr>
          <w:rFonts w:hint="eastAsia" w:ascii="华文仿宋" w:hAnsi="华文仿宋" w:eastAsia="华文仿宋"/>
        </w:rPr>
        <w:t>整体规划</w:t>
      </w:r>
      <w:bookmarkEnd w:id="23"/>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12</w:t>
            </w:r>
            <w:r>
              <w:rPr>
                <w:rFonts w:hint="eastAsia" w:ascii="华文仿宋" w:hAnsi="华文仿宋" w:eastAsia="华文仿宋"/>
                <w:b/>
                <w:bCs/>
                <w:color w:val="FFFFFF" w:themeColor="background1"/>
                <w:szCs w:val="21"/>
                <w14:textFill>
                  <w14:solidFill>
                    <w14:schemeClr w14:val="bg1"/>
                  </w14:solidFill>
                </w14:textFill>
              </w:rPr>
              <w:t>：智能资管系统整体规划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090160" cy="3096260"/>
                  <wp:effectExtent l="0" t="0" r="15240" b="8890"/>
                  <wp:docPr id="19"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descr="IMG_256"/>
                          <pic:cNvPicPr>
                            <a:picLocks noChangeAspect="1"/>
                          </pic:cNvPicPr>
                        </pic:nvPicPr>
                        <pic:blipFill>
                          <a:blip r:embed="rId20"/>
                          <a:stretch>
                            <a:fillRect/>
                          </a:stretch>
                        </pic:blipFill>
                        <pic:spPr>
                          <a:xfrm>
                            <a:off x="0" y="0"/>
                            <a:ext cx="5090160" cy="3096260"/>
                          </a:xfrm>
                          <a:prstGeom prst="rect">
                            <a:avLst/>
                          </a:prstGeom>
                          <a:noFill/>
                          <a:ln w="9525">
                            <a:noFill/>
                          </a:ln>
                        </pic:spPr>
                      </pic:pic>
                    </a:graphicData>
                  </a:graphic>
                </wp:inline>
              </w:drawing>
            </w:r>
          </w:p>
        </w:tc>
      </w:tr>
    </w:tbl>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智能资管系统以智能财富管理系统、资产配置系统、运营管理系统三大系统为核心，涵盖投资端、销售端、运营管理。三大系统各自由四个子系统组合构建而成，子系统的规划与设计以资管业务金融逻辑与业务流程为导向，并形成充分的联动。</w:t>
      </w:r>
    </w:p>
    <w:p>
      <w:pPr>
        <w:spacing w:line="360" w:lineRule="auto"/>
        <w:ind w:firstLine="480" w:firstLineChars="200"/>
        <w:rPr>
          <w:rFonts w:ascii="华文仿宋" w:hAnsi="华文仿宋" w:eastAsia="华文仿宋"/>
          <w:sz w:val="24"/>
          <w:szCs w:val="24"/>
        </w:rPr>
      </w:pPr>
    </w:p>
    <w:p>
      <w:pPr>
        <w:pStyle w:val="3"/>
        <w:rPr>
          <w:rFonts w:ascii="华文仿宋" w:hAnsi="华文仿宋" w:eastAsia="华文仿宋"/>
        </w:rPr>
      </w:pPr>
      <w:bookmarkStart w:id="24" w:name="_Toc9886"/>
      <w:r>
        <w:rPr>
          <w:rFonts w:hint="eastAsia" w:ascii="华文仿宋" w:hAnsi="华文仿宋" w:eastAsia="华文仿宋"/>
        </w:rPr>
        <w:t>3</w:t>
      </w:r>
      <w:r>
        <w:rPr>
          <w:rFonts w:ascii="华文仿宋" w:hAnsi="华文仿宋" w:eastAsia="华文仿宋"/>
        </w:rPr>
        <w:t xml:space="preserve">.2 </w:t>
      </w:r>
      <w:r>
        <w:rPr>
          <w:rFonts w:hint="eastAsia" w:ascii="华文仿宋" w:hAnsi="华文仿宋" w:eastAsia="华文仿宋"/>
        </w:rPr>
        <w:t>分步实施</w:t>
      </w:r>
      <w:bookmarkEnd w:id="24"/>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根据系统开发的重要性及紧迫性不同，以及系统开发所需资源及难度的不同，各系统开发的时间规划也将有所不同。</w:t>
      </w: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rPr>
          <w:rFonts w:ascii="华文仿宋" w:hAnsi="华文仿宋" w:eastAsia="华文仿宋"/>
          <w:b/>
          <w:bCs/>
          <w:szCs w:val="21"/>
        </w:rPr>
      </w:pPr>
    </w:p>
    <w:p>
      <w:pPr>
        <w:rPr>
          <w:rFonts w:ascii="华文仿宋" w:hAnsi="华文仿宋" w:eastAsia="华文仿宋"/>
          <w:sz w:val="24"/>
          <w:szCs w:val="24"/>
        </w:rPr>
      </w:pPr>
      <w:r>
        <w:rPr>
          <w:rFonts w:hint="eastAsia" w:ascii="华文仿宋" w:hAnsi="华文仿宋" w:eastAsia="华文仿宋"/>
          <w:b/>
          <w:bCs/>
          <w:szCs w:val="21"/>
        </w:rPr>
        <w:t>图表</w:t>
      </w:r>
      <w:r>
        <w:rPr>
          <w:rFonts w:ascii="华文仿宋" w:hAnsi="华文仿宋" w:eastAsia="华文仿宋"/>
          <w:b/>
          <w:bCs/>
          <w:szCs w:val="21"/>
        </w:rPr>
        <w:t>13</w:t>
      </w:r>
      <w:r>
        <w:rPr>
          <w:rFonts w:hint="eastAsia" w:ascii="华文仿宋" w:hAnsi="华文仿宋" w:eastAsia="华文仿宋"/>
          <w:b/>
          <w:bCs/>
          <w:szCs w:val="21"/>
        </w:rPr>
        <w:t>：财富管理系统开发安排分析</w:t>
      </w:r>
    </w:p>
    <w:p>
      <w:pPr>
        <w:widowControl/>
        <w:jc w:val="left"/>
        <w:rPr>
          <w:rFonts w:ascii="华文仿宋" w:hAnsi="华文仿宋" w:eastAsia="华文仿宋"/>
          <w:sz w:val="28"/>
          <w:szCs w:val="28"/>
        </w:rPr>
      </w:pPr>
      <w:r>
        <w:rPr>
          <w:rFonts w:ascii="宋体" w:hAnsi="宋体" w:eastAsia="宋体" w:cs="宋体"/>
          <w:kern w:val="0"/>
          <w:sz w:val="24"/>
          <w:szCs w:val="24"/>
          <w:lang w:bidi="ar"/>
        </w:rPr>
        <w:drawing>
          <wp:inline distT="0" distB="0" distL="114300" distR="114300">
            <wp:extent cx="5234940" cy="1791970"/>
            <wp:effectExtent l="0" t="0" r="3810" b="17780"/>
            <wp:docPr id="3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descr="IMG_256"/>
                    <pic:cNvPicPr>
                      <a:picLocks noChangeAspect="1"/>
                    </pic:cNvPicPr>
                  </pic:nvPicPr>
                  <pic:blipFill>
                    <a:blip r:embed="rId21"/>
                    <a:stretch>
                      <a:fillRect/>
                    </a:stretch>
                  </pic:blipFill>
                  <pic:spPr>
                    <a:xfrm>
                      <a:off x="0" y="0"/>
                      <a:ext cx="5234940" cy="1791970"/>
                    </a:xfrm>
                    <a:prstGeom prst="rect">
                      <a:avLst/>
                    </a:prstGeom>
                    <a:noFill/>
                    <a:ln w="9525">
                      <a:noFill/>
                    </a:ln>
                  </pic:spPr>
                </pic:pic>
              </a:graphicData>
            </a:graphic>
          </wp:inline>
        </w:drawing>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智能财富管理系统分两期开发</w:t>
      </w:r>
      <w:r>
        <w:rPr>
          <w:rStyle w:val="16"/>
          <w:rFonts w:ascii="华文仿宋" w:hAnsi="华文仿宋" w:eastAsia="华文仿宋"/>
          <w:sz w:val="24"/>
          <w:szCs w:val="24"/>
        </w:rPr>
        <w:footnoteReference w:id="1"/>
      </w:r>
      <w:r>
        <w:rPr>
          <w:rFonts w:hint="eastAsia" w:ascii="华文仿宋" w:hAnsi="华文仿宋" w:eastAsia="华文仿宋"/>
          <w:sz w:val="24"/>
          <w:szCs w:val="24"/>
        </w:rPr>
        <w:t>，第一期开发的系统为客户分析管理系统、销售管理系统、工作台；第二期开发智能投顾系统，并对一期开发系统进行升级迭代。</w:t>
      </w:r>
    </w:p>
    <w:p>
      <w:pPr>
        <w:rPr>
          <w:rFonts w:ascii="华文仿宋" w:hAnsi="华文仿宋" w:eastAsia="华文仿宋"/>
          <w:sz w:val="24"/>
          <w:szCs w:val="24"/>
        </w:rPr>
      </w:pPr>
      <w:r>
        <w:rPr>
          <w:rFonts w:hint="eastAsia" w:ascii="华文仿宋" w:hAnsi="华文仿宋" w:eastAsia="华文仿宋"/>
          <w:b/>
          <w:bCs/>
          <w:szCs w:val="21"/>
        </w:rPr>
        <w:t>图表</w:t>
      </w:r>
      <w:r>
        <w:rPr>
          <w:rFonts w:ascii="华文仿宋" w:hAnsi="华文仿宋" w:eastAsia="华文仿宋"/>
          <w:b/>
          <w:bCs/>
          <w:szCs w:val="21"/>
        </w:rPr>
        <w:t>14</w:t>
      </w:r>
      <w:r>
        <w:rPr>
          <w:rFonts w:hint="eastAsia" w:ascii="华文仿宋" w:hAnsi="华文仿宋" w:eastAsia="华文仿宋"/>
          <w:b/>
          <w:bCs/>
          <w:szCs w:val="21"/>
        </w:rPr>
        <w:t>：资产配置系统开发安排分析</w:t>
      </w:r>
    </w:p>
    <w:p>
      <w:pPr>
        <w:widowControl/>
        <w:jc w:val="left"/>
        <w:rPr>
          <w:rFonts w:ascii="华文仿宋" w:hAnsi="华文仿宋" w:eastAsia="华文仿宋"/>
          <w:sz w:val="28"/>
          <w:szCs w:val="28"/>
        </w:rPr>
      </w:pPr>
      <w:r>
        <w:rPr>
          <w:rFonts w:ascii="宋体" w:hAnsi="宋体" w:eastAsia="宋体" w:cs="宋体"/>
          <w:kern w:val="0"/>
          <w:sz w:val="24"/>
          <w:szCs w:val="24"/>
          <w:lang w:bidi="ar"/>
        </w:rPr>
        <w:drawing>
          <wp:inline distT="0" distB="0" distL="114300" distR="114300">
            <wp:extent cx="5300345" cy="2094865"/>
            <wp:effectExtent l="0" t="0" r="14605" b="635"/>
            <wp:docPr id="3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descr="IMG_256"/>
                    <pic:cNvPicPr>
                      <a:picLocks noChangeAspect="1"/>
                    </pic:cNvPicPr>
                  </pic:nvPicPr>
                  <pic:blipFill>
                    <a:blip r:embed="rId22"/>
                    <a:stretch>
                      <a:fillRect/>
                    </a:stretch>
                  </pic:blipFill>
                  <pic:spPr>
                    <a:xfrm>
                      <a:off x="0" y="0"/>
                      <a:ext cx="5300345" cy="2094865"/>
                    </a:xfrm>
                    <a:prstGeom prst="rect">
                      <a:avLst/>
                    </a:prstGeom>
                    <a:noFill/>
                    <a:ln w="9525">
                      <a:noFill/>
                    </a:ln>
                  </pic:spPr>
                </pic:pic>
              </a:graphicData>
            </a:graphic>
          </wp:inline>
        </w:drawing>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资产配置系统分两期开发，第一期开发的系统为产品研发与管理系统与M</w:t>
      </w:r>
      <w:r>
        <w:rPr>
          <w:rFonts w:ascii="华文仿宋" w:hAnsi="华文仿宋" w:eastAsia="华文仿宋"/>
          <w:sz w:val="24"/>
          <w:szCs w:val="24"/>
        </w:rPr>
        <w:t>O</w:t>
      </w:r>
      <w:r>
        <w:rPr>
          <w:rFonts w:hint="eastAsia" w:ascii="华文仿宋" w:hAnsi="华文仿宋" w:eastAsia="华文仿宋"/>
          <w:sz w:val="24"/>
          <w:szCs w:val="24"/>
        </w:rPr>
        <w:t>M管理系统；第二期开发投研系统与FOF智能投研系统。</w:t>
      </w: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rPr>
          <w:rFonts w:ascii="华文仿宋" w:hAnsi="华文仿宋" w:eastAsia="华文仿宋"/>
          <w:sz w:val="24"/>
          <w:szCs w:val="24"/>
        </w:rPr>
      </w:pPr>
      <w:r>
        <w:rPr>
          <w:rFonts w:hint="eastAsia" w:ascii="华文仿宋" w:hAnsi="华文仿宋" w:eastAsia="华文仿宋"/>
          <w:b/>
          <w:bCs/>
          <w:szCs w:val="21"/>
        </w:rPr>
        <w:t>图表</w:t>
      </w:r>
      <w:r>
        <w:rPr>
          <w:rFonts w:ascii="华文仿宋" w:hAnsi="华文仿宋" w:eastAsia="华文仿宋"/>
          <w:b/>
          <w:bCs/>
          <w:szCs w:val="21"/>
        </w:rPr>
        <w:t>15</w:t>
      </w:r>
      <w:r>
        <w:rPr>
          <w:rFonts w:hint="eastAsia" w:ascii="华文仿宋" w:hAnsi="华文仿宋" w:eastAsia="华文仿宋"/>
          <w:b/>
          <w:bCs/>
          <w:szCs w:val="21"/>
        </w:rPr>
        <w:t>：运营管理系统开发安排分析</w:t>
      </w:r>
    </w:p>
    <w:p>
      <w:pPr>
        <w:widowControl/>
        <w:jc w:val="left"/>
        <w:rPr>
          <w:rFonts w:ascii="华文仿宋" w:hAnsi="华文仿宋" w:eastAsia="华文仿宋"/>
          <w:sz w:val="28"/>
          <w:szCs w:val="28"/>
        </w:rPr>
      </w:pPr>
      <w:r>
        <w:rPr>
          <w:rFonts w:ascii="宋体" w:hAnsi="宋体" w:eastAsia="宋体" w:cs="宋体"/>
          <w:kern w:val="0"/>
          <w:sz w:val="24"/>
          <w:szCs w:val="24"/>
          <w:lang w:bidi="ar"/>
        </w:rPr>
        <w:drawing>
          <wp:inline distT="0" distB="0" distL="114300" distR="114300">
            <wp:extent cx="5235575" cy="1767205"/>
            <wp:effectExtent l="0" t="0" r="3175" b="4445"/>
            <wp:docPr id="2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descr="IMG_256"/>
                    <pic:cNvPicPr>
                      <a:picLocks noChangeAspect="1"/>
                    </pic:cNvPicPr>
                  </pic:nvPicPr>
                  <pic:blipFill>
                    <a:blip r:embed="rId23"/>
                    <a:stretch>
                      <a:fillRect/>
                    </a:stretch>
                  </pic:blipFill>
                  <pic:spPr>
                    <a:xfrm>
                      <a:off x="0" y="0"/>
                      <a:ext cx="5235575" cy="1767205"/>
                    </a:xfrm>
                    <a:prstGeom prst="rect">
                      <a:avLst/>
                    </a:prstGeom>
                    <a:noFill/>
                    <a:ln w="9525">
                      <a:noFill/>
                    </a:ln>
                  </pic:spPr>
                </pic:pic>
              </a:graphicData>
            </a:graphic>
          </wp:inline>
        </w:drawing>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运营管理系统为三期开发，第一期为估值清算系统；第二期为投资交易执行系统与风险管理系统；第三期为数据控制与运营系统。</w:t>
      </w:r>
    </w:p>
    <w:p>
      <w:pPr>
        <w:rPr>
          <w:rFonts w:ascii="华文仿宋" w:hAnsi="华文仿宋" w:eastAsia="华文仿宋"/>
          <w:sz w:val="24"/>
          <w:szCs w:val="24"/>
        </w:rPr>
      </w:pPr>
      <w:r>
        <w:rPr>
          <w:rFonts w:hint="eastAsia" w:ascii="华文仿宋" w:hAnsi="华文仿宋" w:eastAsia="华文仿宋"/>
          <w:b/>
          <w:bCs/>
          <w:szCs w:val="21"/>
        </w:rPr>
        <w:t>图表</w:t>
      </w:r>
      <w:r>
        <w:rPr>
          <w:rFonts w:ascii="华文仿宋" w:hAnsi="华文仿宋" w:eastAsia="华文仿宋"/>
          <w:b/>
          <w:bCs/>
          <w:szCs w:val="21"/>
        </w:rPr>
        <w:t>16</w:t>
      </w:r>
      <w:r>
        <w:rPr>
          <w:rFonts w:hint="eastAsia" w:ascii="华文仿宋" w:hAnsi="华文仿宋" w:eastAsia="华文仿宋"/>
          <w:b/>
          <w:bCs/>
          <w:szCs w:val="21"/>
        </w:rPr>
        <w:t>：运营管理系统开发安排分析</w:t>
      </w:r>
    </w:p>
    <w:p>
      <w:pPr>
        <w:widowControl/>
        <w:jc w:val="left"/>
        <w:rPr>
          <w:rFonts w:ascii="华文仿宋" w:hAnsi="华文仿宋" w:eastAsia="华文仿宋"/>
          <w:sz w:val="24"/>
          <w:szCs w:val="24"/>
        </w:rPr>
      </w:pPr>
      <w:r>
        <w:rPr>
          <w:rFonts w:ascii="宋体" w:hAnsi="宋体" w:eastAsia="宋体" w:cs="宋体"/>
          <w:kern w:val="0"/>
          <w:sz w:val="24"/>
          <w:szCs w:val="24"/>
          <w:lang w:bidi="ar"/>
        </w:rPr>
        <w:drawing>
          <wp:inline distT="0" distB="0" distL="114300" distR="114300">
            <wp:extent cx="5180965" cy="638810"/>
            <wp:effectExtent l="0" t="0" r="635" b="8890"/>
            <wp:docPr id="2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descr="IMG_256"/>
                    <pic:cNvPicPr>
                      <a:picLocks noChangeAspect="1"/>
                    </pic:cNvPicPr>
                  </pic:nvPicPr>
                  <pic:blipFill>
                    <a:blip r:embed="rId24"/>
                    <a:srcRect t="4625" r="1043" b="7592"/>
                    <a:stretch>
                      <a:fillRect/>
                    </a:stretch>
                  </pic:blipFill>
                  <pic:spPr>
                    <a:xfrm>
                      <a:off x="0" y="0"/>
                      <a:ext cx="5180965" cy="638810"/>
                    </a:xfrm>
                    <a:prstGeom prst="rect">
                      <a:avLst/>
                    </a:prstGeom>
                    <a:noFill/>
                    <a:ln w="9525">
                      <a:noFill/>
                    </a:ln>
                  </pic:spPr>
                </pic:pic>
              </a:graphicData>
            </a:graphic>
          </wp:inline>
        </w:drawing>
      </w:r>
    </w:p>
    <w:p>
      <w:pPr>
        <w:pStyle w:val="3"/>
        <w:rPr>
          <w:rFonts w:ascii="华文仿宋" w:hAnsi="华文仿宋" w:eastAsia="华文仿宋"/>
        </w:rPr>
      </w:pPr>
      <w:bookmarkStart w:id="25" w:name="_Toc8032"/>
      <w:r>
        <w:rPr>
          <w:rFonts w:hint="eastAsia" w:ascii="华文仿宋" w:hAnsi="华文仿宋" w:eastAsia="华文仿宋"/>
        </w:rPr>
        <w:t>3</w:t>
      </w:r>
      <w:r>
        <w:rPr>
          <w:rFonts w:ascii="华文仿宋" w:hAnsi="华文仿宋" w:eastAsia="华文仿宋"/>
        </w:rPr>
        <w:t xml:space="preserve">.3 </w:t>
      </w:r>
      <w:r>
        <w:rPr>
          <w:rFonts w:hint="eastAsia" w:ascii="华文仿宋" w:hAnsi="华文仿宋" w:eastAsia="华文仿宋"/>
        </w:rPr>
        <w:t>快速迭代与系统整合</w:t>
      </w:r>
      <w:bookmarkEnd w:id="25"/>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子系统的开发以标准版为基础，并快速迭代形成适配不同银行的个性化系统。在系统迭代升级过程中，数据流从内外部基础数据向衍生数据延伸，业务流由传统资管业务向科技资管、智能资管转型，系统需求由普遍行业需求延伸到银行个性化特质需求。</w:t>
      </w: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p>
      <w:pPr>
        <w:spacing w:line="360" w:lineRule="auto"/>
        <w:ind w:firstLine="480" w:firstLineChars="200"/>
        <w:rPr>
          <w:rFonts w:ascii="华文仿宋" w:hAnsi="华文仿宋" w:eastAsia="华文仿宋"/>
          <w:sz w:val="24"/>
          <w:szCs w:val="24"/>
        </w:rPr>
      </w:pP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16</w:t>
            </w:r>
            <w:r>
              <w:rPr>
                <w:rFonts w:hint="eastAsia" w:ascii="华文仿宋" w:hAnsi="华文仿宋" w:eastAsia="华文仿宋"/>
                <w:b/>
                <w:bCs/>
                <w:color w:val="FFFFFF" w:themeColor="background1"/>
                <w:szCs w:val="21"/>
                <w14:textFill>
                  <w14:solidFill>
                    <w14:schemeClr w14:val="bg1"/>
                  </w14:solidFill>
                </w14:textFill>
              </w:rPr>
              <w:t>：智能资管系统的迭代与整合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华文仿宋" w:hAnsi="华文仿宋" w:eastAsia="华文仿宋"/>
                <w:sz w:val="24"/>
                <w:szCs w:val="24"/>
              </w:rPr>
              <w:drawing>
                <wp:inline distT="0" distB="0" distL="0" distR="0">
                  <wp:extent cx="5208270" cy="2295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214446" cy="2298342"/>
                          </a:xfrm>
                          <a:prstGeom prst="rect">
                            <a:avLst/>
                          </a:prstGeom>
                          <a:noFill/>
                        </pic:spPr>
                      </pic:pic>
                    </a:graphicData>
                  </a:graphic>
                </wp:inline>
              </w:drawing>
            </w:r>
          </w:p>
        </w:tc>
      </w:tr>
    </w:tbl>
    <w:p>
      <w:pPr>
        <w:pStyle w:val="2"/>
        <w:rPr>
          <w:rFonts w:ascii="华文仿宋" w:hAnsi="华文仿宋" w:eastAsia="华文仿宋"/>
          <w:sz w:val="32"/>
          <w:szCs w:val="32"/>
        </w:rPr>
      </w:pPr>
      <w:bookmarkStart w:id="26" w:name="_Toc6339"/>
      <w:r>
        <w:rPr>
          <w:rFonts w:hint="eastAsia" w:ascii="华文仿宋" w:hAnsi="华文仿宋" w:eastAsia="华文仿宋"/>
          <w:sz w:val="32"/>
          <w:szCs w:val="32"/>
        </w:rPr>
        <w:t>专栏1：工商银行数据仓库建设</w:t>
      </w:r>
      <w:bookmarkEnd w:id="26"/>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工商银行自2001年起开始数据仓库建设，经过多阶段开发和完善后，该银行数据仓库建设已实现预测型数据仓库功能，处于世界领先水平。</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该银行数据仓库建设之初对数据基础、数据服务、业务应用三个模块进行布局，</w:t>
      </w:r>
      <w:r>
        <w:rPr>
          <w:rFonts w:hint="eastAsia" w:ascii="华文仿宋" w:hAnsi="华文仿宋" w:eastAsia="华文仿宋"/>
          <w:b/>
          <w:sz w:val="24"/>
          <w:szCs w:val="24"/>
        </w:rPr>
        <w:t>通过层层迭代的系统升级，历经综合统计系统、动态监测与分析系统到预测型系统的转变。</w:t>
      </w:r>
      <w:r>
        <w:rPr>
          <w:rFonts w:hint="eastAsia" w:ascii="华文仿宋" w:hAnsi="华文仿宋" w:eastAsia="华文仿宋"/>
          <w:sz w:val="24"/>
          <w:szCs w:val="24"/>
        </w:rPr>
        <w:t>目前已实现全行经营管理信息的一次性集中存储和使用，</w:t>
      </w:r>
      <w:r>
        <w:rPr>
          <w:rFonts w:hint="eastAsia" w:ascii="华文仿宋" w:hAnsi="华文仿宋" w:eastAsia="华文仿宋"/>
          <w:b/>
          <w:sz w:val="24"/>
          <w:szCs w:val="24"/>
        </w:rPr>
        <w:t>并将标准化数据和数据分析结果直接面向客户经理工作台、绩效管理、资讯管理、风险监控和营销系统等业务应用系统，有效的支持中、前台业务系统功能完善和丰富。</w:t>
      </w:r>
      <w:r>
        <w:rPr>
          <w:rFonts w:hint="eastAsia" w:ascii="华文仿宋" w:hAnsi="华文仿宋" w:eastAsia="华文仿宋"/>
          <w:sz w:val="24"/>
          <w:szCs w:val="24"/>
        </w:rPr>
        <w:t>后期，该银行数据仓库建设将在现有的基础上进一步向敏捷型系统迈进。</w:t>
      </w: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p>
      <w:pPr>
        <w:spacing w:line="360" w:lineRule="auto"/>
        <w:rPr>
          <w:rFonts w:ascii="华文仿宋" w:hAnsi="华文仿宋" w:eastAsia="华文仿宋"/>
          <w:sz w:val="24"/>
          <w:szCs w:val="24"/>
        </w:rPr>
      </w:pP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17</w:t>
            </w:r>
            <w:r>
              <w:rPr>
                <w:rFonts w:hint="eastAsia" w:ascii="华文仿宋" w:hAnsi="华文仿宋" w:eastAsia="华文仿宋"/>
                <w:b/>
                <w:bCs/>
                <w:color w:val="FFFFFF" w:themeColor="background1"/>
                <w:szCs w:val="21"/>
                <w14:textFill>
                  <w14:solidFill>
                    <w14:schemeClr w14:val="bg1"/>
                  </w14:solidFill>
                </w14:textFill>
              </w:rPr>
              <w:t>：工商银行数据仓库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drawing>
                <wp:inline distT="0" distB="0" distL="114300" distR="114300">
                  <wp:extent cx="5156835" cy="3237230"/>
                  <wp:effectExtent l="0" t="0" r="5715" b="127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26"/>
                          <a:stretch>
                            <a:fillRect/>
                          </a:stretch>
                        </pic:blipFill>
                        <pic:spPr>
                          <a:xfrm>
                            <a:off x="0" y="0"/>
                            <a:ext cx="5156835" cy="3237230"/>
                          </a:xfrm>
                          <a:prstGeom prst="rect">
                            <a:avLst/>
                          </a:prstGeom>
                          <a:noFill/>
                          <a:ln w="9525">
                            <a:noFill/>
                          </a:ln>
                        </pic:spPr>
                      </pic:pic>
                    </a:graphicData>
                  </a:graphic>
                </wp:inline>
              </w:drawing>
            </w:r>
          </w:p>
        </w:tc>
      </w:tr>
    </w:tbl>
    <w:p>
      <w:pPr>
        <w:spacing w:line="360" w:lineRule="auto"/>
        <w:rPr>
          <w:rFonts w:ascii="华文仿宋" w:hAnsi="华文仿宋" w:eastAsia="华文仿宋"/>
          <w:sz w:val="24"/>
          <w:szCs w:val="24"/>
        </w:rPr>
      </w:pPr>
    </w:p>
    <w:p>
      <w:pPr>
        <w:pStyle w:val="2"/>
        <w:rPr>
          <w:rFonts w:ascii="华文仿宋" w:hAnsi="华文仿宋" w:eastAsia="华文仿宋"/>
          <w:sz w:val="32"/>
          <w:szCs w:val="32"/>
        </w:rPr>
      </w:pPr>
      <w:bookmarkStart w:id="27" w:name="_Toc26003"/>
      <w:r>
        <w:rPr>
          <w:rFonts w:hint="eastAsia" w:ascii="华文仿宋" w:hAnsi="华文仿宋" w:eastAsia="华文仿宋"/>
          <w:sz w:val="32"/>
          <w:szCs w:val="32"/>
        </w:rPr>
        <w:t>专栏2：德意志银行数字化生态体系战略</w:t>
      </w:r>
      <w:bookmarkEnd w:id="27"/>
    </w:p>
    <w:p>
      <w:pPr>
        <w:widowControl/>
        <w:ind w:firstLine="480" w:firstLineChars="200"/>
        <w:jc w:val="left"/>
        <w:rPr>
          <w:rFonts w:ascii="华文仿宋" w:hAnsi="华文仿宋" w:eastAsia="华文仿宋"/>
          <w:sz w:val="24"/>
          <w:szCs w:val="24"/>
        </w:rPr>
      </w:pPr>
      <w:r>
        <w:rPr>
          <w:rFonts w:hint="eastAsia" w:ascii="华文仿宋" w:hAnsi="华文仿宋" w:eastAsia="华文仿宋"/>
          <w:sz w:val="24"/>
          <w:szCs w:val="24"/>
        </w:rPr>
        <w:t>德意志银行的“2</w:t>
      </w:r>
      <w:r>
        <w:rPr>
          <w:rFonts w:ascii="华文仿宋" w:hAnsi="华文仿宋" w:eastAsia="华文仿宋"/>
          <w:sz w:val="24"/>
          <w:szCs w:val="24"/>
        </w:rPr>
        <w:t>020</w:t>
      </w:r>
      <w:r>
        <w:rPr>
          <w:rFonts w:hint="eastAsia" w:ascii="华文仿宋" w:hAnsi="华文仿宋" w:eastAsia="华文仿宋"/>
          <w:sz w:val="24"/>
          <w:szCs w:val="24"/>
        </w:rPr>
        <w:t>战略”的一项重要内容是打造数字化生态体系，该行从</w:t>
      </w:r>
      <w:r>
        <w:rPr>
          <w:rFonts w:hint="eastAsia" w:ascii="华文仿宋" w:hAnsi="华文仿宋" w:eastAsia="华文仿宋"/>
          <w:b/>
          <w:sz w:val="24"/>
          <w:szCs w:val="24"/>
        </w:rPr>
        <w:t>营销、产品、流程、技术和培育</w:t>
      </w:r>
      <w:r>
        <w:rPr>
          <w:rFonts w:hint="eastAsia" w:ascii="华文仿宋" w:hAnsi="华文仿宋" w:eastAsia="华文仿宋"/>
          <w:sz w:val="24"/>
          <w:szCs w:val="24"/>
        </w:rPr>
        <w:t>等五个维度，全面推进银行信息化建设，并分别设定了每个维度的发展准则和行动举措。德意志银行将数字化生态体系的构建划分为基础数字银行、智能顾问银行和超越银行等三个阶段。达到为客户提供更快更多便捷服务、降低成本的目的，</w:t>
      </w:r>
      <w:r>
        <w:rPr>
          <w:rFonts w:ascii="仿宋" w:hAnsi="仿宋" w:eastAsia="仿宋" w:cs="仿宋"/>
          <w:sz w:val="24"/>
        </w:rPr>
        <w:t>2017</w:t>
      </w:r>
      <w:r>
        <w:rPr>
          <w:rFonts w:hint="eastAsia" w:ascii="仿宋" w:hAnsi="仿宋" w:eastAsia="仿宋" w:cs="仿宋"/>
          <w:sz w:val="24"/>
        </w:rPr>
        <w:t>年，德银</w:t>
      </w:r>
      <w:r>
        <w:rPr>
          <w:rFonts w:ascii="华文仿宋" w:hAnsi="华文仿宋" w:eastAsia="华文仿宋"/>
          <w:sz w:val="24"/>
          <w:szCs w:val="24"/>
        </w:rPr>
        <w:t>开放内部数据端口</w:t>
      </w:r>
      <w:r>
        <w:rPr>
          <w:rFonts w:hint="eastAsia" w:ascii="华文仿宋" w:hAnsi="华文仿宋" w:eastAsia="华文仿宋"/>
          <w:sz w:val="24"/>
          <w:szCs w:val="24"/>
        </w:rPr>
        <w:t>，通过与外部开发者无缝交互式开发实现系统快速更迭。</w:t>
      </w:r>
    </w:p>
    <w:p>
      <w:pPr>
        <w:widowControl/>
        <w:ind w:firstLine="480" w:firstLineChars="200"/>
        <w:jc w:val="left"/>
        <w:rPr>
          <w:rFonts w:ascii="华文仿宋" w:hAnsi="华文仿宋" w:eastAsia="华文仿宋"/>
          <w:sz w:val="24"/>
          <w:szCs w:val="24"/>
        </w:rPr>
      </w:pPr>
    </w:p>
    <w:p>
      <w:pPr>
        <w:widowControl/>
        <w:ind w:firstLine="480" w:firstLineChars="200"/>
        <w:jc w:val="left"/>
        <w:rPr>
          <w:rFonts w:ascii="华文仿宋" w:hAnsi="华文仿宋" w:eastAsia="华文仿宋"/>
          <w:sz w:val="24"/>
          <w:szCs w:val="24"/>
        </w:rPr>
      </w:pPr>
    </w:p>
    <w:p>
      <w:pPr>
        <w:widowControl/>
        <w:ind w:firstLine="480" w:firstLineChars="200"/>
        <w:jc w:val="left"/>
        <w:rPr>
          <w:rFonts w:ascii="华文仿宋" w:hAnsi="华文仿宋" w:eastAsia="华文仿宋"/>
          <w:sz w:val="24"/>
          <w:szCs w:val="24"/>
        </w:rPr>
      </w:pPr>
    </w:p>
    <w:p>
      <w:pPr>
        <w:widowControl/>
        <w:ind w:firstLine="480" w:firstLineChars="200"/>
        <w:jc w:val="left"/>
        <w:rPr>
          <w:rFonts w:ascii="华文仿宋" w:hAnsi="华文仿宋" w:eastAsia="华文仿宋"/>
          <w:sz w:val="24"/>
          <w:szCs w:val="24"/>
        </w:rPr>
      </w:pPr>
    </w:p>
    <w:tbl>
      <w:tblPr>
        <w:tblStyle w:val="18"/>
        <w:tblW w:w="832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shd w:val="clear" w:color="auto" w:fill="548DD4" w:themeFill="text2" w:themeFillTint="99"/>
          </w:tcPr>
          <w:p>
            <w:pPr>
              <w:spacing w:line="360" w:lineRule="auto"/>
              <w:rPr>
                <w:rFonts w:ascii="华文仿宋" w:hAnsi="华文仿宋" w:eastAsia="华文仿宋"/>
                <w:b/>
                <w:color w:val="FFFFFF" w:themeColor="background1"/>
                <w:szCs w:val="21"/>
                <w14:textFill>
                  <w14:solidFill>
                    <w14:schemeClr w14:val="bg1"/>
                  </w14:solidFill>
                </w14:textFill>
              </w:rPr>
            </w:pPr>
            <w:r>
              <w:rPr>
                <w:rFonts w:hint="eastAsia" w:ascii="华文仿宋" w:hAnsi="华文仿宋" w:eastAsia="华文仿宋"/>
                <w:b/>
                <w:bCs/>
                <w:color w:val="FFFFFF" w:themeColor="background1"/>
                <w:szCs w:val="21"/>
                <w14:textFill>
                  <w14:solidFill>
                    <w14:schemeClr w14:val="bg1"/>
                  </w14:solidFill>
                </w14:textFill>
              </w:rPr>
              <w:t>图表</w:t>
            </w:r>
            <w:r>
              <w:rPr>
                <w:rFonts w:ascii="华文仿宋" w:hAnsi="华文仿宋" w:eastAsia="华文仿宋"/>
                <w:b/>
                <w:bCs/>
                <w:color w:val="FFFFFF" w:themeColor="background1"/>
                <w:szCs w:val="21"/>
                <w14:textFill>
                  <w14:solidFill>
                    <w14:schemeClr w14:val="bg1"/>
                  </w14:solidFill>
                </w14:textFill>
              </w:rPr>
              <w:t>18</w:t>
            </w:r>
            <w:r>
              <w:rPr>
                <w:rFonts w:hint="eastAsia" w:ascii="华文仿宋" w:hAnsi="华文仿宋" w:eastAsia="华文仿宋"/>
                <w:b/>
                <w:bCs/>
                <w:color w:val="FFFFFF" w:themeColor="background1"/>
                <w:szCs w:val="21"/>
                <w14:textFill>
                  <w14:solidFill>
                    <w14:schemeClr w14:val="bg1"/>
                  </w14:solidFill>
                </w14:textFill>
              </w:rPr>
              <w:t>：德意志银行数字化生态体系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25" w:type="dxa"/>
          </w:tcPr>
          <w:p>
            <w:pPr>
              <w:widowControl/>
              <w:jc w:val="left"/>
              <w:rPr>
                <w:rFonts w:ascii="华文仿宋" w:hAnsi="华文仿宋" w:eastAsia="华文仿宋"/>
                <w:sz w:val="24"/>
                <w:szCs w:val="24"/>
              </w:rPr>
            </w:pPr>
            <w:r>
              <w:rPr>
                <w:rFonts w:ascii="华文仿宋" w:hAnsi="华文仿宋" w:eastAsia="华文仿宋"/>
                <w:sz w:val="28"/>
                <w:szCs w:val="28"/>
              </w:rPr>
              <w:drawing>
                <wp:inline distT="0" distB="0" distL="0" distR="0">
                  <wp:extent cx="5095240" cy="3248660"/>
                  <wp:effectExtent l="0" t="0" r="0" b="889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100771" cy="3252353"/>
                          </a:xfrm>
                          <a:prstGeom prst="rect">
                            <a:avLst/>
                          </a:prstGeom>
                          <a:noFill/>
                        </pic:spPr>
                      </pic:pic>
                    </a:graphicData>
                  </a:graphic>
                </wp:inline>
              </w:drawing>
            </w:r>
          </w:p>
        </w:tc>
      </w:tr>
    </w:tbl>
    <w:p>
      <w:pPr>
        <w:rPr>
          <w:rFonts w:ascii="华文仿宋" w:hAnsi="华文仿宋" w:eastAsia="华文仿宋"/>
          <w:sz w:val="28"/>
          <w:szCs w:val="28"/>
        </w:rPr>
      </w:pPr>
    </w:p>
    <w:p>
      <w:pPr>
        <w:rPr>
          <w:rFonts w:ascii="华文仿宋" w:hAnsi="华文仿宋" w:eastAsia="华文仿宋"/>
          <w:sz w:val="28"/>
          <w:szCs w:val="28"/>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828301"/>
    </w:sdtPr>
    <w:sdtContent>
      <w:p>
        <w:pPr>
          <w:pStyle w:val="8"/>
          <w:jc w:val="cente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103038"/>
    </w:sdtPr>
    <w:sdtContent>
      <w:p>
        <w:pPr>
          <w:pStyle w:val="8"/>
          <w:jc w:val="center"/>
        </w:pP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5244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pPr>
      <w:r>
        <w:rPr>
          <w:rStyle w:val="16"/>
        </w:rPr>
        <w:footnoteRef/>
      </w:r>
      <w:r>
        <w:t xml:space="preserve"> </w:t>
      </w:r>
      <w:r>
        <w:rPr>
          <w:rFonts w:hint="eastAsia" w:ascii="华文仿宋" w:hAnsi="华文仿宋" w:eastAsia="华文仿宋"/>
          <w:sz w:val="21"/>
          <w:szCs w:val="21"/>
        </w:rPr>
        <w:t>据《银行资管基业如何长青？普益评析人才梯队建设策略》里问卷数据显示，截至2018年1季度，中国银行资管行业人均管理理财存续规模为60.56亿。中国目前资产管理规模超1000亿元的基金公司，人均资产管理规模约为114.27亿，低于国有行和股份行人均管理规模；而中小规模（资产规模低于1000亿）的基金管理公司，人均资产管理规模约为25.27亿，低于城商行人均管理规模。</w:t>
      </w:r>
    </w:p>
  </w:footnote>
  <w:footnote w:id="1">
    <w:p>
      <w:pPr>
        <w:spacing w:line="360" w:lineRule="auto"/>
        <w:ind w:firstLine="420" w:firstLineChars="200"/>
        <w:rPr>
          <w:rFonts w:ascii="华文仿宋" w:hAnsi="华文仿宋" w:eastAsia="华文仿宋"/>
          <w:szCs w:val="21"/>
        </w:rPr>
      </w:pPr>
      <w:r>
        <w:rPr>
          <w:rStyle w:val="16"/>
          <w:szCs w:val="21"/>
        </w:rPr>
        <w:footnoteRef/>
      </w:r>
      <w:r>
        <w:rPr>
          <w:szCs w:val="21"/>
        </w:rPr>
        <w:t xml:space="preserve"> </w:t>
      </w:r>
      <w:r>
        <w:rPr>
          <w:rFonts w:hint="eastAsia" w:ascii="华文仿宋" w:hAnsi="华文仿宋" w:eastAsia="华文仿宋"/>
          <w:szCs w:val="21"/>
        </w:rPr>
        <w:t>注：所需资源指银行为开发此系统所需投入的数据资源；系统的重要性与紧迫性是决定系统开发的顺序及时间规划的最重要的因素，其次是所需资源以及开发难度。</w:t>
      </w:r>
    </w:p>
    <w:p>
      <w:pPr>
        <w:pStyle w:val="1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06FA8"/>
    <w:multiLevelType w:val="singleLevel"/>
    <w:tmpl w:val="3C706FA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6E"/>
    <w:rsid w:val="0001390A"/>
    <w:rsid w:val="0003038E"/>
    <w:rsid w:val="00031BE0"/>
    <w:rsid w:val="000347B2"/>
    <w:rsid w:val="00041281"/>
    <w:rsid w:val="00041B12"/>
    <w:rsid w:val="00047289"/>
    <w:rsid w:val="00063F4F"/>
    <w:rsid w:val="00067BF1"/>
    <w:rsid w:val="00072CD4"/>
    <w:rsid w:val="000737C4"/>
    <w:rsid w:val="00075048"/>
    <w:rsid w:val="00080F15"/>
    <w:rsid w:val="0008194B"/>
    <w:rsid w:val="00090DAF"/>
    <w:rsid w:val="000961A5"/>
    <w:rsid w:val="000A47EA"/>
    <w:rsid w:val="000A7CD0"/>
    <w:rsid w:val="000B5EDF"/>
    <w:rsid w:val="000C30CE"/>
    <w:rsid w:val="000D055B"/>
    <w:rsid w:val="000D3112"/>
    <w:rsid w:val="000D7265"/>
    <w:rsid w:val="000E08C8"/>
    <w:rsid w:val="000F70BE"/>
    <w:rsid w:val="00102C86"/>
    <w:rsid w:val="00104CEA"/>
    <w:rsid w:val="001065C1"/>
    <w:rsid w:val="0011217F"/>
    <w:rsid w:val="00120D92"/>
    <w:rsid w:val="001220A1"/>
    <w:rsid w:val="00133B0C"/>
    <w:rsid w:val="001346C0"/>
    <w:rsid w:val="00136523"/>
    <w:rsid w:val="00136E85"/>
    <w:rsid w:val="00137F3A"/>
    <w:rsid w:val="00150288"/>
    <w:rsid w:val="00154A01"/>
    <w:rsid w:val="00162351"/>
    <w:rsid w:val="00166798"/>
    <w:rsid w:val="00167B85"/>
    <w:rsid w:val="00180931"/>
    <w:rsid w:val="00182992"/>
    <w:rsid w:val="001A6A75"/>
    <w:rsid w:val="001B4BA7"/>
    <w:rsid w:val="001B5125"/>
    <w:rsid w:val="001C2726"/>
    <w:rsid w:val="001C68B8"/>
    <w:rsid w:val="001D1675"/>
    <w:rsid w:val="001D6AD9"/>
    <w:rsid w:val="00202A58"/>
    <w:rsid w:val="00221AD5"/>
    <w:rsid w:val="00223FEC"/>
    <w:rsid w:val="002243FD"/>
    <w:rsid w:val="0022480E"/>
    <w:rsid w:val="0023071F"/>
    <w:rsid w:val="00236CCD"/>
    <w:rsid w:val="00255627"/>
    <w:rsid w:val="00260DA8"/>
    <w:rsid w:val="00265B99"/>
    <w:rsid w:val="002737EC"/>
    <w:rsid w:val="002804CF"/>
    <w:rsid w:val="002804F2"/>
    <w:rsid w:val="00280625"/>
    <w:rsid w:val="00280F1D"/>
    <w:rsid w:val="00283518"/>
    <w:rsid w:val="00285586"/>
    <w:rsid w:val="002871D5"/>
    <w:rsid w:val="00291B50"/>
    <w:rsid w:val="00293C6C"/>
    <w:rsid w:val="002A0AC7"/>
    <w:rsid w:val="002A1ED7"/>
    <w:rsid w:val="002B3EAC"/>
    <w:rsid w:val="002C065B"/>
    <w:rsid w:val="002C06A0"/>
    <w:rsid w:val="002C643C"/>
    <w:rsid w:val="002D10AB"/>
    <w:rsid w:val="002D48EE"/>
    <w:rsid w:val="002D7F92"/>
    <w:rsid w:val="002E7132"/>
    <w:rsid w:val="002E7B3E"/>
    <w:rsid w:val="002F07AF"/>
    <w:rsid w:val="003023E3"/>
    <w:rsid w:val="003025EA"/>
    <w:rsid w:val="00311C63"/>
    <w:rsid w:val="0031726D"/>
    <w:rsid w:val="00321D11"/>
    <w:rsid w:val="00324B79"/>
    <w:rsid w:val="003369B5"/>
    <w:rsid w:val="00337BA1"/>
    <w:rsid w:val="0034190B"/>
    <w:rsid w:val="0035044F"/>
    <w:rsid w:val="00351170"/>
    <w:rsid w:val="0035447B"/>
    <w:rsid w:val="00355984"/>
    <w:rsid w:val="0036122E"/>
    <w:rsid w:val="003637BE"/>
    <w:rsid w:val="00363968"/>
    <w:rsid w:val="00365553"/>
    <w:rsid w:val="003661C2"/>
    <w:rsid w:val="00366DE1"/>
    <w:rsid w:val="00374E65"/>
    <w:rsid w:val="00376409"/>
    <w:rsid w:val="00376D22"/>
    <w:rsid w:val="0038197E"/>
    <w:rsid w:val="00387934"/>
    <w:rsid w:val="003908C0"/>
    <w:rsid w:val="003909FF"/>
    <w:rsid w:val="00397197"/>
    <w:rsid w:val="003971D5"/>
    <w:rsid w:val="003B23DF"/>
    <w:rsid w:val="003B2B9D"/>
    <w:rsid w:val="003B3016"/>
    <w:rsid w:val="003B44EA"/>
    <w:rsid w:val="003B6C34"/>
    <w:rsid w:val="003C14BE"/>
    <w:rsid w:val="003C369E"/>
    <w:rsid w:val="003C5874"/>
    <w:rsid w:val="003E4213"/>
    <w:rsid w:val="003F1285"/>
    <w:rsid w:val="004017F4"/>
    <w:rsid w:val="00402FA9"/>
    <w:rsid w:val="004056EA"/>
    <w:rsid w:val="004072E8"/>
    <w:rsid w:val="00413F93"/>
    <w:rsid w:val="00422F71"/>
    <w:rsid w:val="00426153"/>
    <w:rsid w:val="00433198"/>
    <w:rsid w:val="00450B97"/>
    <w:rsid w:val="004576FD"/>
    <w:rsid w:val="00462473"/>
    <w:rsid w:val="004629AC"/>
    <w:rsid w:val="00465912"/>
    <w:rsid w:val="00470CAA"/>
    <w:rsid w:val="00471074"/>
    <w:rsid w:val="00477071"/>
    <w:rsid w:val="00480E96"/>
    <w:rsid w:val="004828BA"/>
    <w:rsid w:val="00484A76"/>
    <w:rsid w:val="00492685"/>
    <w:rsid w:val="004974DD"/>
    <w:rsid w:val="004A183C"/>
    <w:rsid w:val="004A5D7C"/>
    <w:rsid w:val="004A71BF"/>
    <w:rsid w:val="004B5C25"/>
    <w:rsid w:val="004D4DFA"/>
    <w:rsid w:val="004E53E1"/>
    <w:rsid w:val="004F23B5"/>
    <w:rsid w:val="004F41B4"/>
    <w:rsid w:val="004F5BBC"/>
    <w:rsid w:val="005009A1"/>
    <w:rsid w:val="00510BD7"/>
    <w:rsid w:val="0051245B"/>
    <w:rsid w:val="00514A0F"/>
    <w:rsid w:val="00523417"/>
    <w:rsid w:val="005239D5"/>
    <w:rsid w:val="00534A2D"/>
    <w:rsid w:val="00535CD3"/>
    <w:rsid w:val="005362E0"/>
    <w:rsid w:val="0053706C"/>
    <w:rsid w:val="0054496B"/>
    <w:rsid w:val="005508E3"/>
    <w:rsid w:val="0056389D"/>
    <w:rsid w:val="00566980"/>
    <w:rsid w:val="00567A1E"/>
    <w:rsid w:val="005708C4"/>
    <w:rsid w:val="0057631B"/>
    <w:rsid w:val="00577F88"/>
    <w:rsid w:val="00582B4F"/>
    <w:rsid w:val="00583DBD"/>
    <w:rsid w:val="0058684F"/>
    <w:rsid w:val="005A17DB"/>
    <w:rsid w:val="005B3C2E"/>
    <w:rsid w:val="005B48F0"/>
    <w:rsid w:val="005B5D29"/>
    <w:rsid w:val="005B671A"/>
    <w:rsid w:val="005B7202"/>
    <w:rsid w:val="005B7AE3"/>
    <w:rsid w:val="005C1A30"/>
    <w:rsid w:val="005C1F82"/>
    <w:rsid w:val="005C2D9B"/>
    <w:rsid w:val="005C4104"/>
    <w:rsid w:val="005C6A9A"/>
    <w:rsid w:val="005D6BBD"/>
    <w:rsid w:val="005D7D85"/>
    <w:rsid w:val="005E2D19"/>
    <w:rsid w:val="005E2FFB"/>
    <w:rsid w:val="005E3C57"/>
    <w:rsid w:val="005F0357"/>
    <w:rsid w:val="00605D2C"/>
    <w:rsid w:val="00607293"/>
    <w:rsid w:val="0062376D"/>
    <w:rsid w:val="00623B90"/>
    <w:rsid w:val="00625777"/>
    <w:rsid w:val="00630C30"/>
    <w:rsid w:val="006371A5"/>
    <w:rsid w:val="00640923"/>
    <w:rsid w:val="00654B44"/>
    <w:rsid w:val="00655363"/>
    <w:rsid w:val="00657D02"/>
    <w:rsid w:val="00661030"/>
    <w:rsid w:val="00662173"/>
    <w:rsid w:val="006644DD"/>
    <w:rsid w:val="00665616"/>
    <w:rsid w:val="00682AEA"/>
    <w:rsid w:val="00682B3E"/>
    <w:rsid w:val="00691732"/>
    <w:rsid w:val="006931E1"/>
    <w:rsid w:val="00693B23"/>
    <w:rsid w:val="00694F6E"/>
    <w:rsid w:val="006A29BE"/>
    <w:rsid w:val="006B08CD"/>
    <w:rsid w:val="006B2874"/>
    <w:rsid w:val="006B4BCA"/>
    <w:rsid w:val="006C55E2"/>
    <w:rsid w:val="006C796B"/>
    <w:rsid w:val="006D0909"/>
    <w:rsid w:val="006D47B5"/>
    <w:rsid w:val="006D63CC"/>
    <w:rsid w:val="006E0A41"/>
    <w:rsid w:val="006E7301"/>
    <w:rsid w:val="006E77B2"/>
    <w:rsid w:val="006F0C70"/>
    <w:rsid w:val="006F17C2"/>
    <w:rsid w:val="006F3AFB"/>
    <w:rsid w:val="006F4043"/>
    <w:rsid w:val="006F5922"/>
    <w:rsid w:val="006F5DAC"/>
    <w:rsid w:val="00701A2B"/>
    <w:rsid w:val="00703960"/>
    <w:rsid w:val="00711CE0"/>
    <w:rsid w:val="00712CC3"/>
    <w:rsid w:val="00724F84"/>
    <w:rsid w:val="007276FE"/>
    <w:rsid w:val="00731E42"/>
    <w:rsid w:val="00733CBE"/>
    <w:rsid w:val="00735272"/>
    <w:rsid w:val="0074217B"/>
    <w:rsid w:val="00751BD8"/>
    <w:rsid w:val="007527D8"/>
    <w:rsid w:val="0075394A"/>
    <w:rsid w:val="00763C14"/>
    <w:rsid w:val="00766F25"/>
    <w:rsid w:val="00775E65"/>
    <w:rsid w:val="00782D5E"/>
    <w:rsid w:val="00784175"/>
    <w:rsid w:val="00791608"/>
    <w:rsid w:val="0079368F"/>
    <w:rsid w:val="007A6B4E"/>
    <w:rsid w:val="007B5966"/>
    <w:rsid w:val="007B6E6C"/>
    <w:rsid w:val="007C0AFB"/>
    <w:rsid w:val="007C38F2"/>
    <w:rsid w:val="007C5588"/>
    <w:rsid w:val="007D16FB"/>
    <w:rsid w:val="007E185C"/>
    <w:rsid w:val="007E249A"/>
    <w:rsid w:val="007E2509"/>
    <w:rsid w:val="007E6766"/>
    <w:rsid w:val="007F224E"/>
    <w:rsid w:val="007F3E27"/>
    <w:rsid w:val="007F7FC9"/>
    <w:rsid w:val="00800C41"/>
    <w:rsid w:val="00801ED9"/>
    <w:rsid w:val="00802B28"/>
    <w:rsid w:val="00802F04"/>
    <w:rsid w:val="00806B29"/>
    <w:rsid w:val="00807612"/>
    <w:rsid w:val="008118E1"/>
    <w:rsid w:val="0081316E"/>
    <w:rsid w:val="00813F63"/>
    <w:rsid w:val="008162D5"/>
    <w:rsid w:val="00816A8E"/>
    <w:rsid w:val="00823A9C"/>
    <w:rsid w:val="00824A01"/>
    <w:rsid w:val="00826037"/>
    <w:rsid w:val="00827135"/>
    <w:rsid w:val="00827DC7"/>
    <w:rsid w:val="00831253"/>
    <w:rsid w:val="008330F0"/>
    <w:rsid w:val="00861683"/>
    <w:rsid w:val="00862883"/>
    <w:rsid w:val="008654FE"/>
    <w:rsid w:val="00867CD5"/>
    <w:rsid w:val="00871CBB"/>
    <w:rsid w:val="00876083"/>
    <w:rsid w:val="00883E9C"/>
    <w:rsid w:val="00884615"/>
    <w:rsid w:val="00890B8D"/>
    <w:rsid w:val="00890FA6"/>
    <w:rsid w:val="00893818"/>
    <w:rsid w:val="008938B0"/>
    <w:rsid w:val="008A25E9"/>
    <w:rsid w:val="008B0FC9"/>
    <w:rsid w:val="008B5295"/>
    <w:rsid w:val="008C0443"/>
    <w:rsid w:val="008C4765"/>
    <w:rsid w:val="008D148A"/>
    <w:rsid w:val="008E44B2"/>
    <w:rsid w:val="008E72C4"/>
    <w:rsid w:val="008F004D"/>
    <w:rsid w:val="008F43D8"/>
    <w:rsid w:val="008F5120"/>
    <w:rsid w:val="008F5C28"/>
    <w:rsid w:val="009064C2"/>
    <w:rsid w:val="009103BB"/>
    <w:rsid w:val="009140A2"/>
    <w:rsid w:val="00922334"/>
    <w:rsid w:val="0092672E"/>
    <w:rsid w:val="00937401"/>
    <w:rsid w:val="0094506B"/>
    <w:rsid w:val="00947065"/>
    <w:rsid w:val="00947B78"/>
    <w:rsid w:val="00950149"/>
    <w:rsid w:val="00954D63"/>
    <w:rsid w:val="00960EEA"/>
    <w:rsid w:val="00962A6A"/>
    <w:rsid w:val="00962C98"/>
    <w:rsid w:val="00964AAC"/>
    <w:rsid w:val="00964DFB"/>
    <w:rsid w:val="00965E69"/>
    <w:rsid w:val="009713E3"/>
    <w:rsid w:val="009720F9"/>
    <w:rsid w:val="00984F1D"/>
    <w:rsid w:val="00987000"/>
    <w:rsid w:val="00994599"/>
    <w:rsid w:val="00995A46"/>
    <w:rsid w:val="009A0A40"/>
    <w:rsid w:val="009A18E7"/>
    <w:rsid w:val="009A5E42"/>
    <w:rsid w:val="009A70B7"/>
    <w:rsid w:val="009A7D8A"/>
    <w:rsid w:val="009B5607"/>
    <w:rsid w:val="009B6110"/>
    <w:rsid w:val="009C2F2E"/>
    <w:rsid w:val="009D3060"/>
    <w:rsid w:val="009D424A"/>
    <w:rsid w:val="009D4FCD"/>
    <w:rsid w:val="009F122D"/>
    <w:rsid w:val="009F7648"/>
    <w:rsid w:val="00A04033"/>
    <w:rsid w:val="00A06AB7"/>
    <w:rsid w:val="00A15CED"/>
    <w:rsid w:val="00A21974"/>
    <w:rsid w:val="00A26A0D"/>
    <w:rsid w:val="00A30363"/>
    <w:rsid w:val="00A36CC5"/>
    <w:rsid w:val="00A45EAC"/>
    <w:rsid w:val="00A46D8F"/>
    <w:rsid w:val="00A545FD"/>
    <w:rsid w:val="00A84097"/>
    <w:rsid w:val="00A902C6"/>
    <w:rsid w:val="00A918B5"/>
    <w:rsid w:val="00AA57DB"/>
    <w:rsid w:val="00AC07B7"/>
    <w:rsid w:val="00AC295F"/>
    <w:rsid w:val="00AC4718"/>
    <w:rsid w:val="00AD3114"/>
    <w:rsid w:val="00AD59D5"/>
    <w:rsid w:val="00AD660C"/>
    <w:rsid w:val="00AE1F05"/>
    <w:rsid w:val="00AE21E0"/>
    <w:rsid w:val="00AF4123"/>
    <w:rsid w:val="00AF7784"/>
    <w:rsid w:val="00B0364A"/>
    <w:rsid w:val="00B162A6"/>
    <w:rsid w:val="00B16369"/>
    <w:rsid w:val="00B165B9"/>
    <w:rsid w:val="00B22DE5"/>
    <w:rsid w:val="00B24D4D"/>
    <w:rsid w:val="00B25D01"/>
    <w:rsid w:val="00B51CFF"/>
    <w:rsid w:val="00B52180"/>
    <w:rsid w:val="00B5294B"/>
    <w:rsid w:val="00B53434"/>
    <w:rsid w:val="00B5491D"/>
    <w:rsid w:val="00B60E59"/>
    <w:rsid w:val="00B637F9"/>
    <w:rsid w:val="00B63E6E"/>
    <w:rsid w:val="00B73C60"/>
    <w:rsid w:val="00B75777"/>
    <w:rsid w:val="00B86019"/>
    <w:rsid w:val="00B96EDA"/>
    <w:rsid w:val="00BA73F3"/>
    <w:rsid w:val="00BB205D"/>
    <w:rsid w:val="00BB2DCC"/>
    <w:rsid w:val="00BB387D"/>
    <w:rsid w:val="00BB4C8E"/>
    <w:rsid w:val="00BC0D32"/>
    <w:rsid w:val="00BC69EC"/>
    <w:rsid w:val="00BD049C"/>
    <w:rsid w:val="00BD535C"/>
    <w:rsid w:val="00BE0C8F"/>
    <w:rsid w:val="00BE4392"/>
    <w:rsid w:val="00BE7DC5"/>
    <w:rsid w:val="00BF2807"/>
    <w:rsid w:val="00BF318A"/>
    <w:rsid w:val="00C0467B"/>
    <w:rsid w:val="00C07B25"/>
    <w:rsid w:val="00C12FE2"/>
    <w:rsid w:val="00C16505"/>
    <w:rsid w:val="00C16ACA"/>
    <w:rsid w:val="00C20DE8"/>
    <w:rsid w:val="00C22594"/>
    <w:rsid w:val="00C4137B"/>
    <w:rsid w:val="00C4272B"/>
    <w:rsid w:val="00C43C74"/>
    <w:rsid w:val="00C46573"/>
    <w:rsid w:val="00C50099"/>
    <w:rsid w:val="00C52996"/>
    <w:rsid w:val="00C57F67"/>
    <w:rsid w:val="00C61723"/>
    <w:rsid w:val="00C639E8"/>
    <w:rsid w:val="00C65C9B"/>
    <w:rsid w:val="00C7729C"/>
    <w:rsid w:val="00C90D7A"/>
    <w:rsid w:val="00C96659"/>
    <w:rsid w:val="00CA5000"/>
    <w:rsid w:val="00CB2E3F"/>
    <w:rsid w:val="00CC01BE"/>
    <w:rsid w:val="00CC1F4B"/>
    <w:rsid w:val="00CC3FE4"/>
    <w:rsid w:val="00CC4A89"/>
    <w:rsid w:val="00CD2239"/>
    <w:rsid w:val="00CD37DC"/>
    <w:rsid w:val="00CD3E43"/>
    <w:rsid w:val="00CD58B6"/>
    <w:rsid w:val="00CF10D1"/>
    <w:rsid w:val="00CF7AEF"/>
    <w:rsid w:val="00D07B39"/>
    <w:rsid w:val="00D106E0"/>
    <w:rsid w:val="00D11810"/>
    <w:rsid w:val="00D12305"/>
    <w:rsid w:val="00D12D77"/>
    <w:rsid w:val="00D13A02"/>
    <w:rsid w:val="00D32DC5"/>
    <w:rsid w:val="00D34414"/>
    <w:rsid w:val="00D426DB"/>
    <w:rsid w:val="00D42D62"/>
    <w:rsid w:val="00D43137"/>
    <w:rsid w:val="00D50C9F"/>
    <w:rsid w:val="00D618C1"/>
    <w:rsid w:val="00D6508F"/>
    <w:rsid w:val="00D667ED"/>
    <w:rsid w:val="00D7602F"/>
    <w:rsid w:val="00D87757"/>
    <w:rsid w:val="00D93CE9"/>
    <w:rsid w:val="00D96E5B"/>
    <w:rsid w:val="00DA1DFA"/>
    <w:rsid w:val="00DA4B21"/>
    <w:rsid w:val="00DA5937"/>
    <w:rsid w:val="00DA6609"/>
    <w:rsid w:val="00DA7749"/>
    <w:rsid w:val="00DB05D0"/>
    <w:rsid w:val="00DB358B"/>
    <w:rsid w:val="00DB53FD"/>
    <w:rsid w:val="00DC3252"/>
    <w:rsid w:val="00DC7ECA"/>
    <w:rsid w:val="00DD3439"/>
    <w:rsid w:val="00DD3FF3"/>
    <w:rsid w:val="00DD469A"/>
    <w:rsid w:val="00DD7051"/>
    <w:rsid w:val="00DE052B"/>
    <w:rsid w:val="00DF2E1E"/>
    <w:rsid w:val="00E0645E"/>
    <w:rsid w:val="00E06C26"/>
    <w:rsid w:val="00E157E7"/>
    <w:rsid w:val="00E20B45"/>
    <w:rsid w:val="00E22C15"/>
    <w:rsid w:val="00E256C7"/>
    <w:rsid w:val="00E316B5"/>
    <w:rsid w:val="00E36393"/>
    <w:rsid w:val="00E36475"/>
    <w:rsid w:val="00E40A78"/>
    <w:rsid w:val="00E47192"/>
    <w:rsid w:val="00E53BC9"/>
    <w:rsid w:val="00E54CA7"/>
    <w:rsid w:val="00E62982"/>
    <w:rsid w:val="00E64675"/>
    <w:rsid w:val="00E70BF3"/>
    <w:rsid w:val="00E81E55"/>
    <w:rsid w:val="00E94584"/>
    <w:rsid w:val="00E95557"/>
    <w:rsid w:val="00E955D3"/>
    <w:rsid w:val="00E95F3A"/>
    <w:rsid w:val="00EA23FF"/>
    <w:rsid w:val="00EA42C8"/>
    <w:rsid w:val="00EA48FB"/>
    <w:rsid w:val="00EA4E57"/>
    <w:rsid w:val="00EB0385"/>
    <w:rsid w:val="00EB43A5"/>
    <w:rsid w:val="00EC3926"/>
    <w:rsid w:val="00EC74F8"/>
    <w:rsid w:val="00EF4BF0"/>
    <w:rsid w:val="00F04172"/>
    <w:rsid w:val="00F14D1B"/>
    <w:rsid w:val="00F176B2"/>
    <w:rsid w:val="00F225DE"/>
    <w:rsid w:val="00F26005"/>
    <w:rsid w:val="00F33D1D"/>
    <w:rsid w:val="00F407D1"/>
    <w:rsid w:val="00F45B7F"/>
    <w:rsid w:val="00F46D8F"/>
    <w:rsid w:val="00F50B82"/>
    <w:rsid w:val="00F545AF"/>
    <w:rsid w:val="00F570D9"/>
    <w:rsid w:val="00F7089E"/>
    <w:rsid w:val="00F92B3E"/>
    <w:rsid w:val="00FB29F2"/>
    <w:rsid w:val="00FC0D75"/>
    <w:rsid w:val="00FC0E6C"/>
    <w:rsid w:val="00FC336D"/>
    <w:rsid w:val="00FC3AAD"/>
    <w:rsid w:val="00FC3F2C"/>
    <w:rsid w:val="00FC7002"/>
    <w:rsid w:val="00FD198A"/>
    <w:rsid w:val="00FD4C84"/>
    <w:rsid w:val="00FD5EEF"/>
    <w:rsid w:val="00FE1650"/>
    <w:rsid w:val="00FE39A9"/>
    <w:rsid w:val="00FF3856"/>
    <w:rsid w:val="0F7416D4"/>
    <w:rsid w:val="0FF96560"/>
    <w:rsid w:val="15936065"/>
    <w:rsid w:val="17CA2B47"/>
    <w:rsid w:val="18387DAE"/>
    <w:rsid w:val="1E07048D"/>
    <w:rsid w:val="1F233C7E"/>
    <w:rsid w:val="21E66A34"/>
    <w:rsid w:val="23985F9F"/>
    <w:rsid w:val="250F3582"/>
    <w:rsid w:val="27B85D99"/>
    <w:rsid w:val="29DD62E1"/>
    <w:rsid w:val="2B962304"/>
    <w:rsid w:val="2CCE63A7"/>
    <w:rsid w:val="2D4310A5"/>
    <w:rsid w:val="333B524B"/>
    <w:rsid w:val="38DA4C6B"/>
    <w:rsid w:val="3FA60E9F"/>
    <w:rsid w:val="3FC4181C"/>
    <w:rsid w:val="42501E62"/>
    <w:rsid w:val="44C550DE"/>
    <w:rsid w:val="476D0353"/>
    <w:rsid w:val="4AC67695"/>
    <w:rsid w:val="50870330"/>
    <w:rsid w:val="50DF4A01"/>
    <w:rsid w:val="5A297806"/>
    <w:rsid w:val="5FB70444"/>
    <w:rsid w:val="622F0180"/>
    <w:rsid w:val="65617702"/>
    <w:rsid w:val="689979B3"/>
    <w:rsid w:val="699D0297"/>
    <w:rsid w:val="708255AE"/>
    <w:rsid w:val="75C23518"/>
    <w:rsid w:val="78556942"/>
    <w:rsid w:val="7E0E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footnote text"/>
    <w:basedOn w:val="1"/>
    <w:link w:val="22"/>
    <w:semiHidden/>
    <w:unhideWhenUsed/>
    <w:qFormat/>
    <w:uiPriority w:val="99"/>
    <w:pPr>
      <w:snapToGrid w:val="0"/>
      <w:jc w:val="left"/>
    </w:pPr>
    <w:rPr>
      <w:sz w:val="18"/>
    </w:rPr>
  </w:style>
  <w:style w:type="paragraph" w:styleId="12">
    <w:name w:val="toc 2"/>
    <w:basedOn w:val="1"/>
    <w:next w:val="1"/>
    <w:unhideWhenUsed/>
    <w:qFormat/>
    <w:uiPriority w:val="39"/>
    <w:pPr>
      <w:ind w:left="420" w:leftChars="200"/>
    </w:p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styleId="16">
    <w:name w:val="footnote reference"/>
    <w:basedOn w:val="13"/>
    <w:semiHidden/>
    <w:unhideWhenUsed/>
    <w:qFormat/>
    <w:uiPriority w:val="99"/>
    <w:rPr>
      <w:vertAlign w:val="superscript"/>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9">
    <w:name w:val="List Paragraph"/>
    <w:basedOn w:val="1"/>
    <w:qFormat/>
    <w:uiPriority w:val="34"/>
    <w:pPr>
      <w:ind w:firstLine="420" w:firstLineChars="200"/>
    </w:p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脚注文本 字符"/>
    <w:basedOn w:val="13"/>
    <w:link w:val="11"/>
    <w:semiHidden/>
    <w:qFormat/>
    <w:uiPriority w:val="99"/>
    <w:rPr>
      <w:kern w:val="2"/>
      <w:sz w:val="18"/>
      <w:szCs w:val="22"/>
    </w:rPr>
  </w:style>
  <w:style w:type="character" w:customStyle="1" w:styleId="23">
    <w:name w:val="标题 1 字符"/>
    <w:basedOn w:val="13"/>
    <w:link w:val="2"/>
    <w:qFormat/>
    <w:uiPriority w:val="9"/>
    <w:rPr>
      <w:b/>
      <w:bCs/>
      <w:kern w:val="44"/>
      <w:sz w:val="44"/>
      <w:szCs w:val="44"/>
    </w:rPr>
  </w:style>
  <w:style w:type="character" w:customStyle="1" w:styleId="24">
    <w:name w:val="标题 2 字符"/>
    <w:basedOn w:val="13"/>
    <w:link w:val="3"/>
    <w:qFormat/>
    <w:uiPriority w:val="9"/>
    <w:rPr>
      <w:rFonts w:asciiTheme="majorHAnsi" w:hAnsiTheme="majorHAnsi" w:eastAsiaTheme="majorEastAsia" w:cstheme="majorBidi"/>
      <w:b/>
      <w:bCs/>
      <w:kern w:val="2"/>
      <w:sz w:val="32"/>
      <w:szCs w:val="32"/>
    </w:rPr>
  </w:style>
  <w:style w:type="character" w:customStyle="1" w:styleId="25">
    <w:name w:val="标题 3 字符"/>
    <w:basedOn w:val="13"/>
    <w:link w:val="4"/>
    <w:qFormat/>
    <w:uiPriority w:val="9"/>
    <w:rPr>
      <w:b/>
      <w:bCs/>
      <w:kern w:val="2"/>
      <w:sz w:val="32"/>
      <w:szCs w:val="32"/>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字符"/>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工作表.xls]Sheet1'!$A$2</c:f>
              <c:strCache>
                <c:ptCount val="1"/>
                <c:pt idx="0">
                  <c:v>货币基金规模（亿）</c:v>
                </c:pt>
              </c:strCache>
            </c:strRef>
          </c:tx>
          <c:spPr>
            <a:ln w="28575" cap="rnd">
              <a:solidFill>
                <a:schemeClr val="accent1"/>
              </a:solidFill>
              <a:round/>
            </a:ln>
            <a:effectLst/>
          </c:spPr>
          <c:marker>
            <c:symbol val="none"/>
          </c:marker>
          <c:dLbls>
            <c:delete val="1"/>
          </c:dLbls>
          <c:cat>
            <c:numRef>
              <c:f>'[新建 XLS 工作表.xls]Sheet1'!$B$1:$AQ$1</c:f>
              <c:numCache>
                <c:formatCode>yyyy/m/d</c:formatCode>
                <c:ptCount val="42"/>
                <c:pt idx="0" c:formatCode="yyyy/m/d">
                  <c:v>43281</c:v>
                </c:pt>
                <c:pt idx="1" c:formatCode="yyyy/m/d">
                  <c:v>43190</c:v>
                </c:pt>
                <c:pt idx="2" c:formatCode="yyyy/m/d">
                  <c:v>43100</c:v>
                </c:pt>
                <c:pt idx="3" c:formatCode="yyyy/m/d">
                  <c:v>43008</c:v>
                </c:pt>
                <c:pt idx="4" c:formatCode="yyyy/m/d">
                  <c:v>42916</c:v>
                </c:pt>
                <c:pt idx="5" c:formatCode="yyyy/m/d">
                  <c:v>42825</c:v>
                </c:pt>
                <c:pt idx="6" c:formatCode="yyyy/m/d">
                  <c:v>42735</c:v>
                </c:pt>
                <c:pt idx="7" c:formatCode="yyyy/m/d">
                  <c:v>42643</c:v>
                </c:pt>
                <c:pt idx="8" c:formatCode="yyyy/m/d">
                  <c:v>42551</c:v>
                </c:pt>
                <c:pt idx="9" c:formatCode="yyyy/m/d">
                  <c:v>42460</c:v>
                </c:pt>
                <c:pt idx="10" c:formatCode="yyyy/m/d">
                  <c:v>42369</c:v>
                </c:pt>
                <c:pt idx="11" c:formatCode="yyyy/m/d">
                  <c:v>42277</c:v>
                </c:pt>
                <c:pt idx="12" c:formatCode="yyyy/m/d">
                  <c:v>42185</c:v>
                </c:pt>
                <c:pt idx="13" c:formatCode="yyyy/m/d">
                  <c:v>42094</c:v>
                </c:pt>
                <c:pt idx="14" c:formatCode="yyyy/m/d">
                  <c:v>42004</c:v>
                </c:pt>
                <c:pt idx="15" c:formatCode="yyyy/m/d">
                  <c:v>41912</c:v>
                </c:pt>
                <c:pt idx="16" c:formatCode="yyyy/m/d">
                  <c:v>41820</c:v>
                </c:pt>
                <c:pt idx="17" c:formatCode="yyyy/m/d">
                  <c:v>41729</c:v>
                </c:pt>
                <c:pt idx="18" c:formatCode="yyyy/m/d">
                  <c:v>41639</c:v>
                </c:pt>
                <c:pt idx="19" c:formatCode="yyyy/m/d">
                  <c:v>41547</c:v>
                </c:pt>
                <c:pt idx="20" c:formatCode="yyyy/m/d">
                  <c:v>41455</c:v>
                </c:pt>
                <c:pt idx="21" c:formatCode="yyyy/m/d">
                  <c:v>41364</c:v>
                </c:pt>
                <c:pt idx="22" c:formatCode="yyyy/m/d">
                  <c:v>41274</c:v>
                </c:pt>
                <c:pt idx="23" c:formatCode="yyyy/m/d">
                  <c:v>41182</c:v>
                </c:pt>
                <c:pt idx="24" c:formatCode="yyyy/m/d">
                  <c:v>41090</c:v>
                </c:pt>
                <c:pt idx="25" c:formatCode="yyyy/m/d">
                  <c:v>40999</c:v>
                </c:pt>
                <c:pt idx="26" c:formatCode="yyyy/m/d">
                  <c:v>40908</c:v>
                </c:pt>
                <c:pt idx="27" c:formatCode="yyyy/m/d">
                  <c:v>40816</c:v>
                </c:pt>
                <c:pt idx="28" c:formatCode="yyyy/m/d">
                  <c:v>40724</c:v>
                </c:pt>
                <c:pt idx="29" c:formatCode="yyyy/m/d">
                  <c:v>40633</c:v>
                </c:pt>
                <c:pt idx="30" c:formatCode="yyyy/m/d">
                  <c:v>40543</c:v>
                </c:pt>
                <c:pt idx="31" c:formatCode="yyyy/m/d">
                  <c:v>40451</c:v>
                </c:pt>
                <c:pt idx="32" c:formatCode="yyyy/m/d">
                  <c:v>40359</c:v>
                </c:pt>
                <c:pt idx="33" c:formatCode="yyyy/m/d">
                  <c:v>40268</c:v>
                </c:pt>
                <c:pt idx="34" c:formatCode="yyyy/m/d">
                  <c:v>40178</c:v>
                </c:pt>
                <c:pt idx="35" c:formatCode="yyyy/m/d">
                  <c:v>40086</c:v>
                </c:pt>
                <c:pt idx="36" c:formatCode="yyyy/m/d">
                  <c:v>39994</c:v>
                </c:pt>
                <c:pt idx="37" c:formatCode="yyyy/m/d">
                  <c:v>39903</c:v>
                </c:pt>
                <c:pt idx="38" c:formatCode="yyyy/m/d">
                  <c:v>39813</c:v>
                </c:pt>
                <c:pt idx="39" c:formatCode="yyyy/m/d">
                  <c:v>39721</c:v>
                </c:pt>
                <c:pt idx="40" c:formatCode="yyyy/m/d">
                  <c:v>39629</c:v>
                </c:pt>
                <c:pt idx="41" c:formatCode="yyyy/m/d">
                  <c:v>39538</c:v>
                </c:pt>
              </c:numCache>
            </c:numRef>
          </c:cat>
          <c:val>
            <c:numRef>
              <c:f>'[新建 XLS 工作表.xls]Sheet1'!$B$2:$AQ$2</c:f>
              <c:numCache>
                <c:formatCode>General</c:formatCode>
                <c:ptCount val="42"/>
                <c:pt idx="0">
                  <c:v>77386.6696</c:v>
                </c:pt>
                <c:pt idx="1">
                  <c:v>73458.0844</c:v>
                </c:pt>
                <c:pt idx="2">
                  <c:v>67800.6272</c:v>
                </c:pt>
                <c:pt idx="3">
                  <c:v>63510.8502</c:v>
                </c:pt>
                <c:pt idx="4">
                  <c:v>51146.8491</c:v>
                </c:pt>
                <c:pt idx="5">
                  <c:v>40047.903</c:v>
                </c:pt>
                <c:pt idx="6">
                  <c:v>43133.708</c:v>
                </c:pt>
                <c:pt idx="7">
                  <c:v>44791.1694</c:v>
                </c:pt>
                <c:pt idx="8">
                  <c:v>42187.1315</c:v>
                </c:pt>
                <c:pt idx="9">
                  <c:v>41594.0346</c:v>
                </c:pt>
                <c:pt idx="10">
                  <c:v>44678.4222</c:v>
                </c:pt>
                <c:pt idx="11">
                  <c:v>36814.302</c:v>
                </c:pt>
                <c:pt idx="12">
                  <c:v>24144</c:v>
                </c:pt>
                <c:pt idx="13">
                  <c:v>21680</c:v>
                </c:pt>
                <c:pt idx="14">
                  <c:v>20930</c:v>
                </c:pt>
                <c:pt idx="15">
                  <c:v>17655</c:v>
                </c:pt>
                <c:pt idx="16">
                  <c:v>15927</c:v>
                </c:pt>
                <c:pt idx="17">
                  <c:v>14439</c:v>
                </c:pt>
                <c:pt idx="18">
                  <c:v>7481</c:v>
                </c:pt>
                <c:pt idx="19">
                  <c:v>4893</c:v>
                </c:pt>
                <c:pt idx="20">
                  <c:v>3039</c:v>
                </c:pt>
                <c:pt idx="21">
                  <c:v>5197</c:v>
                </c:pt>
                <c:pt idx="22">
                  <c:v>5696</c:v>
                </c:pt>
                <c:pt idx="23">
                  <c:v>3584</c:v>
                </c:pt>
                <c:pt idx="24">
                  <c:v>5973</c:v>
                </c:pt>
                <c:pt idx="25">
                  <c:v>4997</c:v>
                </c:pt>
                <c:pt idx="26">
                  <c:v>4658</c:v>
                </c:pt>
                <c:pt idx="27">
                  <c:v>1985</c:v>
                </c:pt>
                <c:pt idx="28">
                  <c:v>1861</c:v>
                </c:pt>
                <c:pt idx="29">
                  <c:v>2234</c:v>
                </c:pt>
                <c:pt idx="30">
                  <c:v>2463</c:v>
                </c:pt>
                <c:pt idx="31">
                  <c:v>1527</c:v>
                </c:pt>
                <c:pt idx="32">
                  <c:v>1486</c:v>
                </c:pt>
                <c:pt idx="33">
                  <c:v>1736</c:v>
                </c:pt>
                <c:pt idx="34">
                  <c:v>3842</c:v>
                </c:pt>
                <c:pt idx="35">
                  <c:v>1616</c:v>
                </c:pt>
                <c:pt idx="36">
                  <c:v>2180</c:v>
                </c:pt>
                <c:pt idx="37">
                  <c:v>2871</c:v>
                </c:pt>
                <c:pt idx="38">
                  <c:v>5037</c:v>
                </c:pt>
                <c:pt idx="39">
                  <c:v>2108</c:v>
                </c:pt>
                <c:pt idx="40">
                  <c:v>1382</c:v>
                </c:pt>
                <c:pt idx="41">
                  <c:v>1454</c:v>
                </c:pt>
              </c:numCache>
            </c:numRef>
          </c:val>
          <c:smooth val="0"/>
        </c:ser>
        <c:dLbls>
          <c:showLegendKey val="0"/>
          <c:showVal val="0"/>
          <c:showCatName val="0"/>
          <c:showSerName val="0"/>
          <c:showPercent val="0"/>
          <c:showBubbleSize val="0"/>
        </c:dLbls>
        <c:marker val="0"/>
        <c:smooth val="0"/>
        <c:axId val="442604305"/>
        <c:axId val="44903189"/>
      </c:lineChart>
      <c:dateAx>
        <c:axId val="4426043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楷体" panose="02010609060101010101" charset="-122"/>
                <a:ea typeface="楷体" panose="02010609060101010101" charset="-122"/>
                <a:cs typeface="楷体" panose="02010609060101010101" charset="-122"/>
                <a:sym typeface="楷体" panose="02010609060101010101" charset="-122"/>
              </a:defRPr>
            </a:pPr>
          </a:p>
        </c:txPr>
        <c:crossAx val="44903189"/>
        <c:crosses val="autoZero"/>
        <c:auto val="1"/>
        <c:lblOffset val="100"/>
        <c:baseTimeUnit val="months"/>
      </c:dateAx>
      <c:valAx>
        <c:axId val="44903189"/>
        <c:scaling>
          <c:orientation val="minMax"/>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bg1">
                <a:lumMod val="65000"/>
              </a:schemeClr>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楷体" panose="02010609060101010101" charset="-122"/>
                <a:ea typeface="楷体" panose="02010609060101010101" charset="-122"/>
                <a:cs typeface="楷体" panose="02010609060101010101" charset="-122"/>
                <a:sym typeface="楷体" panose="02010609060101010101" charset="-122"/>
              </a:defRPr>
            </a:pPr>
          </a:p>
        </c:txPr>
        <c:crossAx val="442604305"/>
        <c:crosses val="autoZero"/>
        <c:crossBetween val="between"/>
        <c:majorUnit val="20000"/>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D7B4BB-CC58-49EF-B9DA-43F59E9E1A12}">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1499</Words>
  <Characters>8547</Characters>
  <Lines>71</Lines>
  <Paragraphs>20</Paragraphs>
  <TotalTime>5</TotalTime>
  <ScaleCrop>false</ScaleCrop>
  <LinksUpToDate>false</LinksUpToDate>
  <CharactersWithSpaces>10026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2018-08-30T03:19:00Z</dcterms:created>
  <dc:creator>涂敏</dc:creator>
  <cp:lastModifiedBy>哇哈哈</cp:lastModifiedBy>
  <cp:lastPrinted>2018-07-25T01:40:00Z</cp:lastPrinted>
  <dcterms:modified xsi:type="dcterms:W3CDTF">2018-08-30T08:28:23Z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